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656AE9" w14:textId="4B78DDDD" w:rsidR="006631DA" w:rsidRPr="006B736B" w:rsidRDefault="00151BD9" w:rsidP="00904475">
      <w:pPr>
        <w:suppressAutoHyphens w:val="0"/>
        <w:spacing w:after="240" w:line="240" w:lineRule="auto"/>
        <w:ind w:leftChars="0" w:left="0" w:firstLineChars="0" w:firstLine="0"/>
        <w:textDirection w:val="lrTb"/>
        <w:textAlignment w:val="auto"/>
        <w:outlineLvl w:val="9"/>
        <w:rPr>
          <w:rFonts w:ascii="Adobe Caslon Pro" w:eastAsia="Lustria" w:hAnsi="Adobe Caslon Pro" w:cs="Lustria"/>
          <w:i/>
          <w:color w:val="808080" w:themeColor="background1" w:themeShade="80"/>
          <w:sz w:val="28"/>
          <w:szCs w:val="30"/>
        </w:rPr>
      </w:pPr>
      <w:r>
        <w:rPr>
          <w:rFonts w:ascii="Adobe Caslon Pro" w:eastAsia="Lustria" w:hAnsi="Adobe Caslon Pro" w:cs="Lustria"/>
          <w:i/>
          <w:color w:val="808080" w:themeColor="background1" w:themeShade="80"/>
          <w:sz w:val="28"/>
          <w:szCs w:val="30"/>
        </w:rPr>
        <w:t>Submission Draft</w:t>
      </w:r>
    </w:p>
    <w:p w14:paraId="162BBF72" w14:textId="21284A35" w:rsidR="000F7436" w:rsidRPr="000F7436" w:rsidRDefault="000F7436" w:rsidP="000F7436">
      <w:pPr>
        <w:suppressAutoHyphens w:val="0"/>
        <w:ind w:leftChars="0" w:left="2" w:firstLineChars="0" w:firstLine="0"/>
        <w:textDirection w:val="lrTb"/>
        <w:textAlignment w:val="auto"/>
        <w:outlineLvl w:val="9"/>
        <w:rPr>
          <w:rFonts w:ascii="Adobe Caslon Pro" w:eastAsia="Lustria" w:hAnsi="Adobe Caslon Pro" w:cs="Lustria"/>
          <w:b/>
          <w:bCs/>
          <w:iCs/>
          <w:color w:val="3C4B92"/>
          <w:sz w:val="38"/>
          <w:szCs w:val="38"/>
        </w:rPr>
      </w:pPr>
      <w:r w:rsidRPr="000F7436">
        <w:rPr>
          <w:rFonts w:ascii="Adobe Caslon Pro" w:eastAsia="Lustria" w:hAnsi="Adobe Caslon Pro" w:cs="Lustria"/>
          <w:b/>
          <w:bCs/>
          <w:iCs/>
          <w:color w:val="3C4B92"/>
          <w:sz w:val="38"/>
          <w:szCs w:val="38"/>
        </w:rPr>
        <w:t xml:space="preserve">No Choice but To Welcome Refugees: </w:t>
      </w:r>
    </w:p>
    <w:p w14:paraId="275C2B5E" w14:textId="77777777" w:rsidR="000F7436" w:rsidRPr="000F7436" w:rsidRDefault="000F7436" w:rsidP="000F7436">
      <w:pPr>
        <w:suppressAutoHyphens w:val="0"/>
        <w:spacing w:line="240" w:lineRule="auto"/>
        <w:ind w:leftChars="0" w:left="0" w:firstLineChars="0" w:firstLine="0"/>
        <w:textDirection w:val="lrTb"/>
        <w:textAlignment w:val="auto"/>
        <w:outlineLvl w:val="9"/>
        <w:rPr>
          <w:rFonts w:ascii="Adobe Caslon Pro" w:eastAsia="Lustria" w:hAnsi="Adobe Caslon Pro" w:cs="Lustria"/>
          <w:b/>
          <w:bCs/>
          <w:iCs/>
          <w:color w:val="3C4B92"/>
          <w:sz w:val="38"/>
          <w:szCs w:val="38"/>
        </w:rPr>
      </w:pPr>
      <w:r w:rsidRPr="000F7436">
        <w:rPr>
          <w:rFonts w:ascii="Adobe Caslon Pro" w:eastAsia="Lustria" w:hAnsi="Adobe Caslon Pro" w:cs="Lustria"/>
          <w:b/>
          <w:bCs/>
          <w:iCs/>
          <w:color w:val="3C4B92"/>
          <w:sz w:val="38"/>
          <w:szCs w:val="38"/>
        </w:rPr>
        <w:t>The Non-Refoulement Principle as Customary International Law in Indonesia</w:t>
      </w:r>
    </w:p>
    <w:p w14:paraId="491AF664" w14:textId="15F87C68" w:rsidR="006631DA" w:rsidRPr="00E01682" w:rsidRDefault="003D1DF9" w:rsidP="006B736B">
      <w:pPr>
        <w:suppressAutoHyphens w:val="0"/>
        <w:spacing w:line="240" w:lineRule="auto"/>
        <w:ind w:leftChars="0" w:left="0" w:firstLineChars="0" w:firstLine="0"/>
        <w:textDirection w:val="lrTb"/>
        <w:textAlignment w:val="auto"/>
        <w:outlineLvl w:val="9"/>
        <w:rPr>
          <w:rFonts w:ascii="Adobe Caslon Pro" w:eastAsia="Lustria" w:hAnsi="Adobe Caslon Pro" w:cs="Lustria"/>
          <w:b/>
          <w:bCs/>
          <w:iCs/>
          <w:color w:val="3C4B92"/>
          <w:sz w:val="38"/>
          <w:szCs w:val="38"/>
        </w:rPr>
      </w:pPr>
      <w:r w:rsidRPr="00E01682">
        <w:rPr>
          <w:rFonts w:ascii="Adobe Caslon Pro" w:eastAsia="Lustria" w:hAnsi="Adobe Caslon Pro" w:cs="Lustria"/>
          <w:b/>
          <w:bCs/>
          <w:iCs/>
          <w:color w:val="3C4B92"/>
          <w:sz w:val="38"/>
          <w:szCs w:val="38"/>
        </w:rPr>
        <w:t xml:space="preserve"> </w:t>
      </w:r>
    </w:p>
    <w:p w14:paraId="6C80739B" w14:textId="77777777" w:rsidR="006631DA" w:rsidRPr="00A1264C" w:rsidRDefault="006631DA" w:rsidP="003D1DF9">
      <w:pPr>
        <w:pBdr>
          <w:top w:val="nil"/>
          <w:left w:val="nil"/>
          <w:bottom w:val="nil"/>
          <w:right w:val="nil"/>
          <w:between w:val="nil"/>
        </w:pBdr>
        <w:spacing w:before="120" w:after="120" w:line="240" w:lineRule="auto"/>
        <w:ind w:left="1" w:hanging="3"/>
        <w:rPr>
          <w:rFonts w:ascii="Garamond" w:eastAsia="Lustria" w:hAnsi="Garamond" w:cs="Lustria"/>
          <w:b/>
          <w:color w:val="1C1E29"/>
          <w:sz w:val="28"/>
          <w:szCs w:val="28"/>
        </w:rPr>
      </w:pPr>
    </w:p>
    <w:p w14:paraId="631E46B6" w14:textId="6CADDBDF" w:rsidR="00E560C4" w:rsidRDefault="000F7436" w:rsidP="004C4849">
      <w:pPr>
        <w:pBdr>
          <w:top w:val="nil"/>
          <w:left w:val="nil"/>
          <w:bottom w:val="nil"/>
          <w:right w:val="nil"/>
          <w:between w:val="nil"/>
        </w:pBdr>
        <w:spacing w:before="120" w:after="120" w:line="240" w:lineRule="auto"/>
        <w:ind w:left="0" w:hanging="2"/>
        <w:rPr>
          <w:rFonts w:ascii="Garamond" w:eastAsia="Lustria" w:hAnsi="Garamond" w:cs="Lustria"/>
          <w:b/>
          <w:bCs/>
          <w:color w:val="1C1E29"/>
          <w:vertAlign w:val="superscript"/>
        </w:rPr>
      </w:pPr>
      <w:r w:rsidRPr="00E560C4">
        <w:rPr>
          <w:rFonts w:ascii="Garamond" w:eastAsia="Lustria" w:hAnsi="Garamond" w:cs="Lustria"/>
          <w:b/>
          <w:color w:val="1C1E29"/>
        </w:rPr>
        <w:t>Sefriani</w:t>
      </w:r>
      <w:r w:rsidR="00E560C4">
        <w:rPr>
          <w:rFonts w:ascii="Garamond" w:eastAsia="Lustria" w:hAnsi="Garamond" w:cs="Lustria"/>
          <w:b/>
          <w:color w:val="1C1E29"/>
          <w:vertAlign w:val="superscript"/>
        </w:rPr>
        <w:t>1</w:t>
      </w:r>
      <w:r w:rsidR="00FA64CC">
        <w:rPr>
          <w:rFonts w:ascii="Garamond" w:eastAsia="Lustria" w:hAnsi="Garamond" w:cs="Lustria"/>
          <w:b/>
          <w:color w:val="1C1E29"/>
        </w:rPr>
        <w:t xml:space="preserve">, </w:t>
      </w:r>
      <w:proofErr w:type="spellStart"/>
      <w:r w:rsidR="00E560C4" w:rsidRPr="00E560C4">
        <w:rPr>
          <w:rFonts w:ascii="Garamond" w:eastAsia="Lustria" w:hAnsi="Garamond" w:cs="Lustria"/>
          <w:b/>
          <w:color w:val="1C1E29"/>
        </w:rPr>
        <w:t>Dodik</w:t>
      </w:r>
      <w:proofErr w:type="spellEnd"/>
      <w:r w:rsidR="00E560C4" w:rsidRPr="00E560C4">
        <w:rPr>
          <w:rFonts w:ascii="Garamond" w:eastAsia="Lustria" w:hAnsi="Garamond" w:cs="Lustria"/>
          <w:b/>
          <w:color w:val="1C1E29"/>
        </w:rPr>
        <w:t xml:space="preserve"> Setiawan Nur Heriyanto</w:t>
      </w:r>
      <w:r w:rsidR="00E560C4">
        <w:rPr>
          <w:rFonts w:ascii="Garamond" w:eastAsia="Lustria" w:hAnsi="Garamond" w:cs="Lustria"/>
          <w:b/>
          <w:color w:val="1C1E29"/>
          <w:vertAlign w:val="superscript"/>
        </w:rPr>
        <w:t>1*</w:t>
      </w:r>
      <w:r w:rsidR="00FA64CC">
        <w:rPr>
          <w:rFonts w:ascii="Garamond" w:eastAsia="Lustria" w:hAnsi="Garamond" w:cs="Lustria"/>
          <w:b/>
          <w:color w:val="1C1E29"/>
        </w:rPr>
        <w:t xml:space="preserve">, and </w:t>
      </w:r>
      <w:proofErr w:type="spellStart"/>
      <w:r w:rsidR="00FA64CC" w:rsidRPr="00FA64CC">
        <w:rPr>
          <w:rFonts w:ascii="Garamond" w:eastAsia="Lustria" w:hAnsi="Garamond" w:cs="Lustria"/>
          <w:b/>
          <w:bCs/>
          <w:color w:val="1C1E29"/>
        </w:rPr>
        <w:t>Tamás</w:t>
      </w:r>
      <w:proofErr w:type="spellEnd"/>
      <w:r w:rsidR="00FA64CC" w:rsidRPr="00FA64CC">
        <w:rPr>
          <w:rFonts w:ascii="Garamond" w:eastAsia="Lustria" w:hAnsi="Garamond" w:cs="Lustria"/>
          <w:b/>
          <w:bCs/>
          <w:color w:val="1C1E29"/>
        </w:rPr>
        <w:t xml:space="preserve"> Fézer</w:t>
      </w:r>
      <w:r w:rsidR="00FA64CC" w:rsidRPr="00FA64CC">
        <w:rPr>
          <w:rFonts w:ascii="Garamond" w:eastAsia="Lustria" w:hAnsi="Garamond" w:cs="Lustria"/>
          <w:b/>
          <w:bCs/>
          <w:color w:val="1C1E29"/>
          <w:vertAlign w:val="superscript"/>
        </w:rPr>
        <w:t>2</w:t>
      </w:r>
    </w:p>
    <w:p w14:paraId="08BFD75A" w14:textId="41546359" w:rsidR="00FA64CC" w:rsidRPr="004D4FB9" w:rsidRDefault="00FA64CC" w:rsidP="00FA64CC">
      <w:pPr>
        <w:pBdr>
          <w:top w:val="nil"/>
          <w:left w:val="nil"/>
          <w:bottom w:val="nil"/>
          <w:right w:val="nil"/>
          <w:between w:val="nil"/>
        </w:pBdr>
        <w:spacing w:before="120" w:after="120" w:line="240" w:lineRule="auto"/>
        <w:ind w:left="0" w:hanging="2"/>
        <w:rPr>
          <w:rFonts w:ascii="Garamond" w:eastAsia="Lustria" w:hAnsi="Garamond" w:cs="Lustria"/>
          <w:bCs/>
          <w:iCs/>
          <w:color w:val="1C1E29"/>
        </w:rPr>
      </w:pPr>
      <w:r>
        <w:rPr>
          <w:rFonts w:ascii="Garamond" w:eastAsia="Lustria" w:hAnsi="Garamond" w:cs="Lustria"/>
          <w:bCs/>
          <w:color w:val="1C1E29"/>
          <w:vertAlign w:val="superscript"/>
        </w:rPr>
        <w:t>1</w:t>
      </w:r>
      <w:r w:rsidRPr="00FA64CC">
        <w:rPr>
          <w:rFonts w:asciiTheme="minorHAnsi" w:hAnsiTheme="minorHAnsi" w:cstheme="minorHAnsi"/>
          <w:i/>
          <w:position w:val="0"/>
          <w:sz w:val="20"/>
          <w:szCs w:val="20"/>
          <w:lang w:bidi="bn-IN"/>
        </w:rPr>
        <w:t xml:space="preserve"> </w:t>
      </w:r>
      <w:r w:rsidRPr="004D4FB9">
        <w:rPr>
          <w:rFonts w:ascii="Garamond" w:eastAsia="Lustria" w:hAnsi="Garamond" w:cs="Lustria"/>
          <w:bCs/>
          <w:iCs/>
          <w:color w:val="1C1E29"/>
        </w:rPr>
        <w:t xml:space="preserve">Faculty of Law, Universitas Islam Indonesia, </w:t>
      </w:r>
      <w:proofErr w:type="spellStart"/>
      <w:r w:rsidRPr="004D4FB9">
        <w:rPr>
          <w:rFonts w:ascii="Garamond" w:eastAsia="Lustria" w:hAnsi="Garamond" w:cs="Lustria"/>
          <w:bCs/>
          <w:iCs/>
          <w:color w:val="1C1E29"/>
        </w:rPr>
        <w:t>Kaliurang</w:t>
      </w:r>
      <w:proofErr w:type="spellEnd"/>
      <w:r w:rsidRPr="004D4FB9">
        <w:rPr>
          <w:rFonts w:ascii="Garamond" w:eastAsia="Lustria" w:hAnsi="Garamond" w:cs="Lustria"/>
          <w:bCs/>
          <w:iCs/>
          <w:color w:val="1C1E29"/>
        </w:rPr>
        <w:t xml:space="preserve"> Street km 14,5 </w:t>
      </w:r>
      <w:proofErr w:type="spellStart"/>
      <w:r w:rsidRPr="004D4FB9">
        <w:rPr>
          <w:rFonts w:ascii="Garamond" w:eastAsia="Lustria" w:hAnsi="Garamond" w:cs="Lustria"/>
          <w:bCs/>
          <w:iCs/>
          <w:color w:val="1C1E29"/>
        </w:rPr>
        <w:t>Ngemplak</w:t>
      </w:r>
      <w:proofErr w:type="spellEnd"/>
      <w:r w:rsidRPr="004D4FB9">
        <w:rPr>
          <w:rFonts w:ascii="Garamond" w:eastAsia="Lustria" w:hAnsi="Garamond" w:cs="Lustria"/>
          <w:bCs/>
          <w:iCs/>
          <w:color w:val="1C1E29"/>
        </w:rPr>
        <w:t xml:space="preserve">, </w:t>
      </w:r>
      <w:proofErr w:type="spellStart"/>
      <w:r w:rsidRPr="004D4FB9">
        <w:rPr>
          <w:rFonts w:ascii="Garamond" w:eastAsia="Lustria" w:hAnsi="Garamond" w:cs="Lustria"/>
          <w:bCs/>
          <w:iCs/>
          <w:color w:val="1C1E29"/>
        </w:rPr>
        <w:t>Sleman</w:t>
      </w:r>
      <w:proofErr w:type="spellEnd"/>
      <w:r w:rsidRPr="004D4FB9">
        <w:rPr>
          <w:rFonts w:ascii="Garamond" w:eastAsia="Lustria" w:hAnsi="Garamond" w:cs="Lustria"/>
          <w:bCs/>
          <w:iCs/>
          <w:color w:val="1C1E29"/>
        </w:rPr>
        <w:t>, Yogyakarta, 55584.</w:t>
      </w:r>
    </w:p>
    <w:p w14:paraId="64D8FB7C" w14:textId="177BDA20" w:rsidR="00FA64CC" w:rsidRPr="004D4FB9" w:rsidRDefault="00FA64CC" w:rsidP="004D4FB9">
      <w:pPr>
        <w:pBdr>
          <w:top w:val="nil"/>
          <w:left w:val="nil"/>
          <w:bottom w:val="nil"/>
          <w:right w:val="nil"/>
          <w:between w:val="nil"/>
        </w:pBdr>
        <w:spacing w:before="120" w:after="120" w:line="240" w:lineRule="auto"/>
        <w:ind w:left="0" w:hanging="2"/>
        <w:rPr>
          <w:rFonts w:ascii="Garamond" w:eastAsia="Lustria" w:hAnsi="Garamond" w:cs="Lustria"/>
          <w:bCs/>
          <w:iCs/>
          <w:color w:val="1C1E29"/>
        </w:rPr>
      </w:pPr>
      <w:r>
        <w:rPr>
          <w:rFonts w:ascii="Garamond" w:eastAsia="Lustria" w:hAnsi="Garamond" w:cs="Lustria"/>
          <w:bCs/>
          <w:color w:val="1C1E29"/>
          <w:vertAlign w:val="superscript"/>
        </w:rPr>
        <w:t>2</w:t>
      </w:r>
      <w:r w:rsidR="004D4FB9" w:rsidRPr="004D4FB9">
        <w:rPr>
          <w:rFonts w:asciiTheme="minorHAnsi" w:hAnsiTheme="minorHAnsi" w:cstheme="minorHAnsi"/>
          <w:i/>
          <w:position w:val="0"/>
          <w:sz w:val="20"/>
          <w:szCs w:val="20"/>
          <w:lang w:bidi="bn-IN"/>
        </w:rPr>
        <w:t xml:space="preserve"> </w:t>
      </w:r>
      <w:r w:rsidR="004D4FB9" w:rsidRPr="004D4FB9">
        <w:rPr>
          <w:rFonts w:ascii="Garamond" w:eastAsia="Lustria" w:hAnsi="Garamond" w:cs="Lustria"/>
          <w:bCs/>
          <w:iCs/>
          <w:color w:val="1C1E29"/>
        </w:rPr>
        <w:t>Faculty of Law, University of Debrecen, 26</w:t>
      </w:r>
      <w:r w:rsidR="004D4FB9" w:rsidRPr="004D4FB9">
        <w:rPr>
          <w:rFonts w:ascii="Garamond" w:eastAsia="Lustria" w:hAnsi="Garamond" w:cs="Lustria"/>
          <w:bCs/>
          <w:iCs/>
          <w:color w:val="1C1E29"/>
          <w:vertAlign w:val="superscript"/>
        </w:rPr>
        <w:t>th</w:t>
      </w:r>
      <w:r w:rsidR="004D4FB9" w:rsidRPr="004D4FB9">
        <w:rPr>
          <w:rFonts w:ascii="Garamond" w:eastAsia="Lustria" w:hAnsi="Garamond" w:cs="Lustria"/>
          <w:bCs/>
          <w:iCs/>
          <w:color w:val="1C1E29"/>
        </w:rPr>
        <w:t xml:space="preserve"> </w:t>
      </w:r>
      <w:proofErr w:type="spellStart"/>
      <w:r w:rsidR="004D4FB9" w:rsidRPr="004D4FB9">
        <w:rPr>
          <w:rFonts w:ascii="Garamond" w:eastAsia="Lustria" w:hAnsi="Garamond" w:cs="Lustria"/>
          <w:bCs/>
          <w:iCs/>
          <w:color w:val="1C1E29"/>
        </w:rPr>
        <w:t>Kassai</w:t>
      </w:r>
      <w:proofErr w:type="spellEnd"/>
      <w:r w:rsidR="004D4FB9" w:rsidRPr="004D4FB9">
        <w:rPr>
          <w:rFonts w:ascii="Garamond" w:eastAsia="Lustria" w:hAnsi="Garamond" w:cs="Lustria"/>
          <w:bCs/>
          <w:iCs/>
          <w:color w:val="1C1E29"/>
        </w:rPr>
        <w:t xml:space="preserve"> str., H-4028 Debrecen, Hungary</w:t>
      </w:r>
    </w:p>
    <w:p w14:paraId="0293FBFD" w14:textId="2BAE6093" w:rsidR="003D1DF9" w:rsidRDefault="004D4FB9" w:rsidP="004C4849">
      <w:pPr>
        <w:pBdr>
          <w:top w:val="nil"/>
          <w:left w:val="nil"/>
          <w:bottom w:val="nil"/>
          <w:right w:val="nil"/>
          <w:between w:val="nil"/>
        </w:pBdr>
        <w:spacing w:before="120" w:after="120" w:line="240" w:lineRule="auto"/>
        <w:ind w:left="0" w:hanging="2"/>
        <w:rPr>
          <w:rFonts w:ascii="Adobe Caslon Pro" w:eastAsia="Lustria" w:hAnsi="Adobe Caslon Pro" w:cs="Lustria"/>
          <w:b/>
          <w:bCs/>
          <w:iCs/>
          <w:color w:val="365F91" w:themeColor="accent1" w:themeShade="BF"/>
          <w:sz w:val="38"/>
          <w:szCs w:val="38"/>
        </w:rPr>
      </w:pPr>
      <w:r>
        <w:rPr>
          <w:rFonts w:ascii="Garamond" w:eastAsia="Lustria" w:hAnsi="Garamond" w:cs="Lustria"/>
          <w:bCs/>
          <w:color w:val="1C1E29"/>
          <w:vertAlign w:val="superscript"/>
        </w:rPr>
        <w:t>*</w:t>
      </w:r>
      <w:r>
        <w:rPr>
          <w:rFonts w:ascii="Garamond" w:eastAsia="Lustria" w:hAnsi="Garamond" w:cs="Lustria"/>
          <w:bCs/>
          <w:color w:val="1C1E29"/>
        </w:rPr>
        <w:t xml:space="preserve"> </w:t>
      </w:r>
      <w:hyperlink r:id="rId8" w:history="1">
        <w:r w:rsidRPr="005B64CE">
          <w:rPr>
            <w:rStyle w:val="Hyperlink"/>
            <w:rFonts w:ascii="Garamond" w:eastAsia="Lustria" w:hAnsi="Garamond" w:cs="Lustria"/>
            <w:bCs/>
          </w:rPr>
          <w:t>dodiksetiawan@uii.ac.id</w:t>
        </w:r>
      </w:hyperlink>
      <w:r w:rsidR="00E560C4">
        <w:rPr>
          <w:rFonts w:ascii="Garamond" w:eastAsia="Lustria" w:hAnsi="Garamond" w:cs="Lustria"/>
          <w:bCs/>
          <w:color w:val="1C1E29"/>
        </w:rPr>
        <w:t xml:space="preserve"> / </w:t>
      </w:r>
      <w:r w:rsidR="002D384B" w:rsidRPr="002D384B">
        <w:rPr>
          <w:rFonts w:ascii="Garamond" w:eastAsia="Lustria" w:hAnsi="Garamond" w:cs="Lustria"/>
          <w:bCs/>
          <w:color w:val="1C1E29"/>
        </w:rPr>
        <w:t>https://orcid.org/0000-0002-4468-2010</w:t>
      </w:r>
      <w:r w:rsidR="00CE0A51">
        <w:rPr>
          <w:rFonts w:ascii="Garamond" w:eastAsia="Lustria" w:hAnsi="Garamond" w:cs="Lustria"/>
          <w:bCs/>
          <w:color w:val="1C1E29"/>
        </w:rPr>
        <w:t xml:space="preserve"> </w:t>
      </w:r>
    </w:p>
    <w:tbl>
      <w:tblPr>
        <w:tblStyle w:val="TableGrid"/>
        <w:tblW w:w="9214" w:type="dxa"/>
        <w:tblBorders>
          <w:left w:val="none" w:sz="0" w:space="0" w:color="auto"/>
          <w:right w:val="none" w:sz="0" w:space="0" w:color="auto"/>
        </w:tblBorders>
        <w:tblLook w:val="04A0" w:firstRow="1" w:lastRow="0" w:firstColumn="1" w:lastColumn="0" w:noHBand="0" w:noVBand="1"/>
      </w:tblPr>
      <w:tblGrid>
        <w:gridCol w:w="1560"/>
        <w:gridCol w:w="7654"/>
      </w:tblGrid>
      <w:tr w:rsidR="008C5FA7" w14:paraId="0721A92C" w14:textId="77777777" w:rsidTr="00DD368A">
        <w:trPr>
          <w:trHeight w:val="511"/>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6D9F1" w:themeFill="text2" w:themeFillTint="33"/>
            <w:vAlign w:val="center"/>
          </w:tcPr>
          <w:p w14:paraId="0632E529" w14:textId="4227D032"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 xml:space="preserve">Manuscript </w:t>
            </w:r>
            <w:r w:rsidR="008141FE" w:rsidRPr="009B6FAA">
              <w:rPr>
                <w:rFonts w:eastAsia="Lustria"/>
                <w:b/>
                <w:bCs/>
                <w:iCs/>
                <w:sz w:val="20"/>
                <w:szCs w:val="20"/>
              </w:rPr>
              <w:t>ID</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shd w:val="clear" w:color="auto" w:fill="C6D9F1" w:themeFill="text2" w:themeFillTint="33"/>
            <w:vAlign w:val="center"/>
          </w:tcPr>
          <w:p w14:paraId="698DFCA1" w14:textId="75ECB993" w:rsidR="006631DA" w:rsidRPr="009B6FAA" w:rsidRDefault="00151BD9"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iCs/>
                <w:sz w:val="20"/>
                <w:szCs w:val="20"/>
              </w:rPr>
              <w:t>Please l</w:t>
            </w:r>
            <w:r w:rsidR="006631DA" w:rsidRPr="009B6FAA">
              <w:rPr>
                <w:rFonts w:eastAsia="Lustria"/>
                <w:iCs/>
                <w:sz w:val="20"/>
                <w:szCs w:val="20"/>
              </w:rPr>
              <w:t>eft blank</w:t>
            </w:r>
          </w:p>
        </w:tc>
      </w:tr>
      <w:tr w:rsidR="00A1264C" w14:paraId="65926E45" w14:textId="77777777" w:rsidTr="00DD368A">
        <w:trPr>
          <w:trHeight w:val="511"/>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vAlign w:val="center"/>
          </w:tcPr>
          <w:p w14:paraId="4E65F7DC" w14:textId="4E5D965D"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Type</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vAlign w:val="center"/>
          </w:tcPr>
          <w:p w14:paraId="38E28844" w14:textId="1E3AEB1D" w:rsidR="006631DA" w:rsidRPr="009B6FAA" w:rsidRDefault="00BE5E91" w:rsidP="009C48FF">
            <w:pPr>
              <w:suppressAutoHyphens w:val="0"/>
              <w:spacing w:line="240" w:lineRule="auto"/>
              <w:ind w:leftChars="0" w:left="0" w:firstLineChars="0" w:firstLine="0"/>
              <w:textDirection w:val="lrTb"/>
              <w:textAlignment w:val="auto"/>
              <w:outlineLvl w:val="9"/>
              <w:rPr>
                <w:rFonts w:eastAsia="Lustria"/>
                <w:iCs/>
                <w:sz w:val="20"/>
                <w:szCs w:val="20"/>
              </w:rPr>
            </w:pPr>
            <w:r w:rsidRPr="009B6FAA">
              <w:rPr>
                <w:rFonts w:eastAsia="Lustria"/>
                <w:b/>
                <w:bCs/>
                <w:iCs/>
                <w:sz w:val="20"/>
                <w:szCs w:val="20"/>
              </w:rPr>
              <w:t>Select one:</w:t>
            </w:r>
            <w:r w:rsidRPr="009B6FAA">
              <w:rPr>
                <w:rFonts w:eastAsia="Lustria"/>
                <w:iCs/>
                <w:sz w:val="20"/>
                <w:szCs w:val="20"/>
              </w:rPr>
              <w:t xml:space="preserve"> </w:t>
            </w:r>
            <w:r w:rsidR="006631DA" w:rsidRPr="009B6FAA">
              <w:rPr>
                <w:rFonts w:eastAsia="Lustria"/>
                <w:iCs/>
                <w:sz w:val="20"/>
                <w:szCs w:val="20"/>
              </w:rPr>
              <w:t>Article</w:t>
            </w:r>
            <w:r w:rsidRPr="009B6FAA">
              <w:rPr>
                <w:rFonts w:eastAsia="Lustria"/>
                <w:iCs/>
                <w:sz w:val="20"/>
                <w:szCs w:val="20"/>
              </w:rPr>
              <w:t>s</w:t>
            </w:r>
            <w:r w:rsidR="006631DA" w:rsidRPr="009B6FAA">
              <w:rPr>
                <w:rFonts w:eastAsia="Lustria"/>
                <w:iCs/>
                <w:sz w:val="20"/>
                <w:szCs w:val="20"/>
              </w:rPr>
              <w:t>/Notes/Book Review</w:t>
            </w:r>
            <w:r w:rsidRPr="009B6FAA">
              <w:rPr>
                <w:rFonts w:eastAsia="Lustria"/>
                <w:iCs/>
                <w:sz w:val="20"/>
                <w:szCs w:val="20"/>
              </w:rPr>
              <w:t>s</w:t>
            </w:r>
          </w:p>
        </w:tc>
      </w:tr>
      <w:tr w:rsidR="008C5FA7" w14:paraId="6C1934C1" w14:textId="77777777" w:rsidTr="00DD368A">
        <w:trPr>
          <w:trHeight w:val="650"/>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6D9F1" w:themeFill="text2" w:themeFillTint="33"/>
            <w:vAlign w:val="center"/>
          </w:tcPr>
          <w:p w14:paraId="3D9D378A" w14:textId="5A37A60F"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Subject</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shd w:val="clear" w:color="auto" w:fill="C6D9F1" w:themeFill="text2" w:themeFillTint="33"/>
            <w:vAlign w:val="center"/>
          </w:tcPr>
          <w:p w14:paraId="5368873E" w14:textId="07E476B3"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iCs/>
                <w:sz w:val="20"/>
                <w:szCs w:val="20"/>
              </w:rPr>
            </w:pPr>
            <w:r w:rsidRPr="009B6FAA">
              <w:rPr>
                <w:rFonts w:eastAsia="Lustria"/>
                <w:b/>
                <w:bCs/>
                <w:iCs/>
                <w:sz w:val="20"/>
                <w:szCs w:val="20"/>
              </w:rPr>
              <w:t>Select one:</w:t>
            </w:r>
            <w:r w:rsidRPr="009B6FAA">
              <w:rPr>
                <w:rFonts w:eastAsia="Lustria"/>
                <w:iCs/>
                <w:sz w:val="20"/>
                <w:szCs w:val="20"/>
              </w:rPr>
              <w:t xml:space="preserve"> constitutionalism,</w:t>
            </w:r>
            <w:r w:rsidR="008C5FA7" w:rsidRPr="009B6FAA">
              <w:rPr>
                <w:rFonts w:eastAsia="Lustria"/>
                <w:iCs/>
                <w:sz w:val="20"/>
                <w:szCs w:val="20"/>
              </w:rPr>
              <w:t xml:space="preserve"> </w:t>
            </w:r>
            <w:r w:rsidR="0032193E">
              <w:rPr>
                <w:rFonts w:eastAsia="Lustria"/>
                <w:iCs/>
                <w:sz w:val="20"/>
                <w:szCs w:val="20"/>
              </w:rPr>
              <w:t xml:space="preserve">international governance, </w:t>
            </w:r>
            <w:r w:rsidRPr="009B6FAA">
              <w:rPr>
                <w:rFonts w:eastAsia="Lustria"/>
                <w:iCs/>
                <w:sz w:val="20"/>
                <w:szCs w:val="20"/>
              </w:rPr>
              <w:t>human rights law, environmental law, technology law, legal pluralism</w:t>
            </w:r>
          </w:p>
        </w:tc>
      </w:tr>
      <w:tr w:rsidR="00A1264C" w14:paraId="72CF1EC1" w14:textId="77777777" w:rsidTr="00DD368A">
        <w:trPr>
          <w:trHeight w:val="511"/>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vAlign w:val="center"/>
          </w:tcPr>
          <w:p w14:paraId="1E09CB26" w14:textId="4C5C545B"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Keywords</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vAlign w:val="center"/>
          </w:tcPr>
          <w:p w14:paraId="78C32E2B" w14:textId="3EB833DF" w:rsidR="006631DA" w:rsidRPr="002D384B" w:rsidRDefault="002D384B" w:rsidP="009C48FF">
            <w:pPr>
              <w:suppressAutoHyphens w:val="0"/>
              <w:spacing w:line="240" w:lineRule="auto"/>
              <w:ind w:leftChars="0" w:left="0" w:firstLineChars="0" w:firstLine="0"/>
              <w:textDirection w:val="lrTb"/>
              <w:textAlignment w:val="auto"/>
              <w:outlineLvl w:val="9"/>
              <w:rPr>
                <w:rFonts w:eastAsia="Lustria"/>
                <w:b/>
                <w:bCs/>
                <w:sz w:val="20"/>
                <w:szCs w:val="20"/>
                <w:lang w:val="en-MY"/>
              </w:rPr>
            </w:pPr>
            <w:r w:rsidRPr="002D384B">
              <w:rPr>
                <w:rFonts w:eastAsia="Lustria"/>
                <w:sz w:val="20"/>
                <w:szCs w:val="20"/>
                <w:lang w:val="en-MY"/>
              </w:rPr>
              <w:t>Non-refoulment Principle, Refugee, Indonesia.</w:t>
            </w:r>
          </w:p>
        </w:tc>
      </w:tr>
      <w:tr w:rsidR="008C5FA7" w14:paraId="6FBCA5D6" w14:textId="77777777" w:rsidTr="00DD368A">
        <w:trPr>
          <w:trHeight w:val="550"/>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shd w:val="clear" w:color="auto" w:fill="C6D9F1" w:themeFill="text2" w:themeFillTint="33"/>
            <w:vAlign w:val="center"/>
          </w:tcPr>
          <w:p w14:paraId="0EDBCB20" w14:textId="6DD53DC3"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Author(s) Origin</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shd w:val="clear" w:color="auto" w:fill="C6D9F1" w:themeFill="text2" w:themeFillTint="33"/>
            <w:vAlign w:val="center"/>
          </w:tcPr>
          <w:p w14:paraId="210C4B97" w14:textId="0936E554"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iCs/>
                <w:sz w:val="20"/>
                <w:szCs w:val="20"/>
              </w:rPr>
            </w:pPr>
            <w:r w:rsidRPr="009B6FAA">
              <w:rPr>
                <w:rFonts w:eastAsia="Lustria"/>
                <w:iCs/>
                <w:sz w:val="20"/>
                <w:szCs w:val="20"/>
              </w:rPr>
              <w:t>Mention your country of origin</w:t>
            </w:r>
          </w:p>
        </w:tc>
      </w:tr>
      <w:tr w:rsidR="00A1264C" w14:paraId="71A9C636" w14:textId="77777777" w:rsidTr="00DD368A">
        <w:trPr>
          <w:trHeight w:val="1314"/>
        </w:trPr>
        <w:tc>
          <w:tcPr>
            <w:tcW w:w="1560" w:type="dxa"/>
            <w:tcBorders>
              <w:top w:val="single" w:sz="2" w:space="0" w:color="BFBFBF" w:themeColor="background1" w:themeShade="BF"/>
              <w:bottom w:val="single" w:sz="2" w:space="0" w:color="BFBFBF" w:themeColor="background1" w:themeShade="BF"/>
              <w:right w:val="single" w:sz="2" w:space="0" w:color="BFBFBF" w:themeColor="background1" w:themeShade="BF"/>
            </w:tcBorders>
            <w:vAlign w:val="center"/>
          </w:tcPr>
          <w:p w14:paraId="3332F59C" w14:textId="7DE77BD9"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b/>
                <w:bCs/>
                <w:iCs/>
                <w:sz w:val="20"/>
                <w:szCs w:val="20"/>
              </w:rPr>
            </w:pPr>
            <w:r w:rsidRPr="009B6FAA">
              <w:rPr>
                <w:rFonts w:eastAsia="Lustria"/>
                <w:b/>
                <w:bCs/>
                <w:iCs/>
                <w:sz w:val="20"/>
                <w:szCs w:val="20"/>
              </w:rPr>
              <w:t>Abstract</w:t>
            </w:r>
          </w:p>
        </w:tc>
        <w:tc>
          <w:tcPr>
            <w:tcW w:w="7654" w:type="dxa"/>
            <w:tcBorders>
              <w:top w:val="single" w:sz="2" w:space="0" w:color="BFBFBF" w:themeColor="background1" w:themeShade="BF"/>
              <w:left w:val="single" w:sz="2" w:space="0" w:color="BFBFBF" w:themeColor="background1" w:themeShade="BF"/>
              <w:bottom w:val="single" w:sz="2" w:space="0" w:color="BFBFBF" w:themeColor="background1" w:themeShade="BF"/>
            </w:tcBorders>
            <w:vAlign w:val="center"/>
          </w:tcPr>
          <w:p w14:paraId="17874D34" w14:textId="39409F7D" w:rsidR="002D384B" w:rsidRPr="002D384B" w:rsidRDefault="002D384B" w:rsidP="002D384B">
            <w:pPr>
              <w:suppressAutoHyphens w:val="0"/>
              <w:spacing w:line="240" w:lineRule="auto"/>
              <w:ind w:leftChars="0" w:left="0" w:firstLineChars="0" w:firstLine="0"/>
              <w:jc w:val="both"/>
              <w:textDirection w:val="lrTb"/>
              <w:textAlignment w:val="auto"/>
              <w:outlineLvl w:val="9"/>
              <w:rPr>
                <w:rFonts w:eastAsia="Lustria"/>
                <w:sz w:val="20"/>
                <w:szCs w:val="20"/>
              </w:rPr>
            </w:pPr>
            <w:r w:rsidRPr="002D384B">
              <w:rPr>
                <w:rFonts w:eastAsia="Lustria"/>
                <w:iCs/>
                <w:sz w:val="20"/>
                <w:szCs w:val="20"/>
                <w:lang w:val="en-MY"/>
              </w:rPr>
              <w:t>The Non-Refoulment principle stipulates that each country is forbidden to return refugees and/or asylum seekers to their country of origin if they are subject to persecution, threatening their lives. The complexity of the current international refugee situation has been causing the translation of the principle of non-refoulment into various national measure and domestic policies. This study examines the application of the principle of non-refoulment in Indonesia. As a country which has a strategic location, Indonesia has become a significant crossroad for international refugees and receives massive numbers of asylum seekers. The non-refoulement principle is part of jus cogens norms in international law. This principle, however, does not fit reality in which Indonesia has inconsistency to uphold the principle into the binding normative laws. As a consequence, international refugees have received far less attention from the Government due to the lack of infrastructure and financial allocation</w:t>
            </w:r>
            <w:r w:rsidRPr="002D384B">
              <w:rPr>
                <w:rFonts w:eastAsia="Lustria"/>
                <w:sz w:val="20"/>
                <w:szCs w:val="20"/>
              </w:rPr>
              <w:t>.</w:t>
            </w:r>
          </w:p>
          <w:p w14:paraId="450526AE" w14:textId="3CA98A53" w:rsidR="006631DA" w:rsidRPr="009B6FAA" w:rsidRDefault="006631DA" w:rsidP="009C48FF">
            <w:pPr>
              <w:suppressAutoHyphens w:val="0"/>
              <w:spacing w:line="240" w:lineRule="auto"/>
              <w:ind w:leftChars="0" w:left="0" w:firstLineChars="0" w:firstLine="0"/>
              <w:textDirection w:val="lrTb"/>
              <w:textAlignment w:val="auto"/>
              <w:outlineLvl w:val="9"/>
              <w:rPr>
                <w:rFonts w:eastAsia="Lustria"/>
                <w:iCs/>
                <w:sz w:val="20"/>
                <w:szCs w:val="20"/>
              </w:rPr>
            </w:pPr>
          </w:p>
        </w:tc>
      </w:tr>
    </w:tbl>
    <w:p w14:paraId="150FEEB1" w14:textId="77777777" w:rsidR="000425D4" w:rsidRPr="00151E30" w:rsidRDefault="000425D4" w:rsidP="000425D4">
      <w:pPr>
        <w:spacing w:before="120" w:after="120"/>
        <w:ind w:left="0" w:right="-1" w:hanging="2"/>
        <w:jc w:val="center"/>
        <w:rPr>
          <w:rFonts w:ascii="Adobe Caslon Pro" w:hAnsi="Adobe Caslon Pro"/>
          <w:color w:val="3C4B92"/>
        </w:rPr>
      </w:pPr>
    </w:p>
    <w:p w14:paraId="3D31C4B1" w14:textId="1F44AA75" w:rsidR="000425D4" w:rsidRPr="00151E30" w:rsidRDefault="000425D4" w:rsidP="000425D4">
      <w:pPr>
        <w:spacing w:before="120" w:after="120"/>
        <w:ind w:left="0" w:right="-1" w:hanging="2"/>
        <w:jc w:val="center"/>
        <w:rPr>
          <w:rFonts w:ascii="Garamond" w:hAnsi="Garamond" w:cs="Arial"/>
          <w:color w:val="3C4B92"/>
        </w:rPr>
      </w:pPr>
      <w:r w:rsidRPr="00151E30">
        <w:rPr>
          <w:rFonts w:ascii="Garamond" w:hAnsi="Garamond"/>
          <w:color w:val="3C4B92"/>
        </w:rPr>
        <w:t xml:space="preserve">Submitted: - | Reviewed: - | Revised: </w:t>
      </w:r>
      <w:proofErr w:type="gramStart"/>
      <w:r w:rsidRPr="00151E30">
        <w:rPr>
          <w:rFonts w:ascii="Garamond" w:hAnsi="Garamond"/>
          <w:color w:val="3C4B92"/>
        </w:rPr>
        <w:t>-  |</w:t>
      </w:r>
      <w:proofErr w:type="gramEnd"/>
      <w:r w:rsidRPr="00151E30">
        <w:rPr>
          <w:rFonts w:ascii="Garamond" w:hAnsi="Garamond"/>
          <w:color w:val="3C4B92"/>
        </w:rPr>
        <w:t xml:space="preserve"> Accepted: -</w:t>
      </w:r>
    </w:p>
    <w:p w14:paraId="52218679" w14:textId="6B30A29A" w:rsidR="000425D4" w:rsidRDefault="000425D4" w:rsidP="006631DA">
      <w:pPr>
        <w:suppressAutoHyphens w:val="0"/>
        <w:spacing w:line="240" w:lineRule="auto"/>
        <w:ind w:leftChars="0" w:left="0" w:firstLineChars="0" w:firstLine="0"/>
        <w:jc w:val="center"/>
        <w:textDirection w:val="lrTb"/>
        <w:textAlignment w:val="auto"/>
        <w:outlineLvl w:val="9"/>
        <w:rPr>
          <w:rFonts w:ascii="Adobe Caslon Pro" w:eastAsia="Lustria" w:hAnsi="Adobe Caslon Pro" w:cs="Lustria"/>
          <w:b/>
          <w:bCs/>
          <w:iCs/>
          <w:color w:val="365F91" w:themeColor="accent1" w:themeShade="BF"/>
          <w:sz w:val="38"/>
          <w:szCs w:val="38"/>
        </w:rPr>
      </w:pPr>
    </w:p>
    <w:p w14:paraId="782AEC23" w14:textId="77777777" w:rsidR="00566A17" w:rsidRDefault="00566A17">
      <w:pPr>
        <w:suppressAutoHyphens w:val="0"/>
        <w:spacing w:line="240" w:lineRule="auto"/>
        <w:ind w:leftChars="0" w:left="0" w:firstLineChars="0" w:firstLine="0"/>
        <w:textDirection w:val="lrTb"/>
        <w:textAlignment w:val="auto"/>
        <w:outlineLvl w:val="9"/>
        <w:rPr>
          <w:rFonts w:ascii="Adobe Caslon Pro" w:hAnsi="Adobe Caslon Pro"/>
          <w:b/>
          <w:color w:val="365F91" w:themeColor="accent1" w:themeShade="BF"/>
          <w:sz w:val="28"/>
          <w:szCs w:val="28"/>
        </w:rPr>
      </w:pPr>
      <w:r>
        <w:rPr>
          <w:rFonts w:ascii="Adobe Caslon Pro" w:hAnsi="Adobe Caslon Pro"/>
          <w:b/>
          <w:color w:val="365F91" w:themeColor="accent1" w:themeShade="BF"/>
          <w:sz w:val="28"/>
          <w:szCs w:val="28"/>
        </w:rPr>
        <w:br w:type="page"/>
      </w:r>
    </w:p>
    <w:p w14:paraId="0000000C" w14:textId="00131C22" w:rsidR="00DA62DD" w:rsidRPr="009B6FAA" w:rsidRDefault="00117F6F" w:rsidP="00A07DFD">
      <w:pPr>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b/>
          <w:color w:val="3C4B92"/>
          <w:sz w:val="30"/>
          <w:szCs w:val="30"/>
        </w:rPr>
        <w:lastRenderedPageBreak/>
        <w:t xml:space="preserve">I. </w:t>
      </w:r>
      <w:r w:rsidR="000D5A39" w:rsidRPr="009B6FAA">
        <w:rPr>
          <w:rFonts w:ascii="Adobe Caslon Pro" w:hAnsi="Adobe Caslon Pro"/>
          <w:b/>
          <w:color w:val="3C4B92"/>
          <w:sz w:val="30"/>
          <w:szCs w:val="30"/>
        </w:rPr>
        <w:t>INTRODUCTION</w:t>
      </w:r>
    </w:p>
    <w:p w14:paraId="3709D7E0" w14:textId="77777777" w:rsidR="002D384B" w:rsidRPr="002D384B" w:rsidRDefault="002D384B" w:rsidP="002D384B">
      <w:pPr>
        <w:spacing w:before="120" w:after="120" w:line="276" w:lineRule="auto"/>
        <w:ind w:left="1" w:hanging="3"/>
        <w:jc w:val="both"/>
        <w:rPr>
          <w:rFonts w:ascii="Garamond" w:eastAsia="Lustria" w:hAnsi="Garamond"/>
          <w:sz w:val="30"/>
          <w:szCs w:val="30"/>
          <w:lang w:val="en-ID"/>
        </w:rPr>
      </w:pPr>
      <w:r w:rsidRPr="002D384B">
        <w:rPr>
          <w:rFonts w:ascii="Garamond" w:eastAsia="Lustria" w:hAnsi="Garamond"/>
          <w:sz w:val="30"/>
          <w:szCs w:val="30"/>
          <w:lang w:val="en-ID"/>
        </w:rPr>
        <w:t xml:space="preserve">Indonesia's strategic location between two continents (Asia and Australia) and two oceans (the Indies and the Pacific) is a strategic country and lays in the path of international refugees aiming to reach Australia. Not a few of the refugees who stopped in the outer regions of Indonesia and settled given the lack of tight defences and security in the border region </w:t>
      </w:r>
      <w:r w:rsidRPr="002D384B">
        <w:rPr>
          <w:rFonts w:ascii="Garamond" w:eastAsia="Lustria" w:hAnsi="Garamond"/>
          <w:sz w:val="30"/>
          <w:szCs w:val="30"/>
          <w:vertAlign w:val="superscript"/>
          <w:lang w:val="en-ID"/>
        </w:rPr>
        <w:footnoteReference w:id="1"/>
      </w:r>
      <w:r w:rsidRPr="002D384B">
        <w:rPr>
          <w:rFonts w:ascii="Garamond" w:eastAsia="Lustria" w:hAnsi="Garamond"/>
          <w:sz w:val="30"/>
          <w:szCs w:val="30"/>
          <w:lang w:val="en-ID"/>
        </w:rPr>
        <w:t>. Of course, the presence of these refugees causes problems particularly with regard to social aspects in the border areas where there is frequent conflict between local communities and refugees who commit crimes because of the lack of social protection support for them.</w:t>
      </w:r>
    </w:p>
    <w:p w14:paraId="0FAB743C" w14:textId="77777777" w:rsidR="002D384B" w:rsidRPr="002D384B" w:rsidRDefault="002D384B" w:rsidP="002D384B">
      <w:pPr>
        <w:spacing w:before="120" w:after="120" w:line="276" w:lineRule="auto"/>
        <w:ind w:left="1" w:hanging="3"/>
        <w:jc w:val="both"/>
        <w:rPr>
          <w:rFonts w:ascii="Garamond" w:eastAsia="Lustria" w:hAnsi="Garamond"/>
          <w:sz w:val="30"/>
          <w:szCs w:val="30"/>
          <w:lang w:val="en-ID"/>
        </w:rPr>
      </w:pPr>
      <w:r w:rsidRPr="002D384B">
        <w:rPr>
          <w:rFonts w:ascii="Garamond" w:eastAsia="Lustria" w:hAnsi="Garamond"/>
          <w:sz w:val="30"/>
          <w:szCs w:val="30"/>
          <w:lang w:val="en-ID"/>
        </w:rPr>
        <w:t>International refugee conditions in Indonesia are still getting unequal treatment. Even in 2015 there was an increase in the number of refugees by 13,188. Of these, 7,911 are asylum seekers</w:t>
      </w:r>
      <w:r w:rsidRPr="002D384B">
        <w:rPr>
          <w:rFonts w:ascii="Garamond" w:eastAsia="Lustria" w:hAnsi="Garamond"/>
          <w:sz w:val="30"/>
          <w:szCs w:val="30"/>
          <w:vertAlign w:val="superscript"/>
          <w:lang w:val="en-ID"/>
        </w:rPr>
        <w:footnoteReference w:id="2"/>
      </w:r>
      <w:r w:rsidRPr="002D384B">
        <w:rPr>
          <w:rFonts w:ascii="Garamond" w:eastAsia="Lustria" w:hAnsi="Garamond"/>
          <w:sz w:val="30"/>
          <w:szCs w:val="30"/>
          <w:lang w:val="en-ID"/>
        </w:rPr>
        <w:t>. It seems that the Government of Indonesia has not been serious in handling the existence of these international refugees. Human Rights Watch 2015’s reports mentioned that most refugees and asylum seekers live without any certainty over their status. Moreover, there are refugee children in immigration prisoners who are getting poor service and violence</w:t>
      </w:r>
      <w:r w:rsidRPr="002D384B">
        <w:rPr>
          <w:rFonts w:ascii="Garamond" w:eastAsia="Lustria" w:hAnsi="Garamond"/>
          <w:sz w:val="30"/>
          <w:szCs w:val="30"/>
          <w:vertAlign w:val="superscript"/>
          <w:lang w:val="en-ID"/>
        </w:rPr>
        <w:footnoteReference w:id="3"/>
      </w:r>
      <w:r w:rsidRPr="002D384B">
        <w:rPr>
          <w:rFonts w:ascii="Garamond" w:eastAsia="Lustria" w:hAnsi="Garamond"/>
          <w:sz w:val="30"/>
          <w:szCs w:val="30"/>
          <w:lang w:val="en-ID"/>
        </w:rPr>
        <w:t xml:space="preserve">. </w:t>
      </w:r>
    </w:p>
    <w:p w14:paraId="3F96DCB1" w14:textId="77777777" w:rsidR="002D384B" w:rsidRPr="002D384B" w:rsidRDefault="002D384B" w:rsidP="002D384B">
      <w:pPr>
        <w:spacing w:before="120" w:after="120" w:line="276" w:lineRule="auto"/>
        <w:ind w:left="1" w:hanging="3"/>
        <w:jc w:val="both"/>
        <w:rPr>
          <w:rFonts w:ascii="Garamond" w:eastAsia="Lustria" w:hAnsi="Garamond"/>
          <w:sz w:val="30"/>
          <w:szCs w:val="30"/>
          <w:lang w:val="en-ID"/>
        </w:rPr>
      </w:pPr>
      <w:r w:rsidRPr="002D384B">
        <w:rPr>
          <w:rFonts w:ascii="Garamond" w:eastAsia="Lustria" w:hAnsi="Garamond"/>
          <w:sz w:val="30"/>
          <w:szCs w:val="30"/>
          <w:lang w:val="en-ID"/>
        </w:rPr>
        <w:t xml:space="preserve">Since ASEAN does not yet have a good legal and policy framework, refugees lack sufficient protection to culminate in conditions of concern. For example, Rohingya refugees who arrived in Thailand were arrested by a particular person and asked the refugees to pay a certain sum of money as a ransom to gain freedom from the threat of detention. Reports from UNHCR in 2015 estimated 25,000 Rohingya and Bangladesh refugees to Indonesia, Malaysia, and Thailand to seek protection </w:t>
      </w:r>
      <w:r w:rsidRPr="002D384B">
        <w:rPr>
          <w:rFonts w:ascii="Garamond" w:eastAsia="Lustria" w:hAnsi="Garamond"/>
          <w:sz w:val="30"/>
          <w:szCs w:val="30"/>
          <w:vertAlign w:val="superscript"/>
          <w:lang w:val="en-ID"/>
        </w:rPr>
        <w:footnoteReference w:id="4"/>
      </w:r>
      <w:r w:rsidRPr="002D384B">
        <w:rPr>
          <w:rFonts w:ascii="Garamond" w:eastAsia="Lustria" w:hAnsi="Garamond"/>
          <w:sz w:val="30"/>
          <w:szCs w:val="30"/>
          <w:lang w:val="en-ID"/>
        </w:rPr>
        <w:t xml:space="preserve">. The uniformity and inadequate provision of refugee protection in ASEAN if left unchecked by law will result in an adverse regional crisis and hamper the realization of the ASEAN integration ideals. It is important to add, the lack of sufficient protection may not be the only obstacle in operating an </w:t>
      </w:r>
      <w:r w:rsidRPr="002D384B">
        <w:rPr>
          <w:rFonts w:ascii="Garamond" w:eastAsia="Lustria" w:hAnsi="Garamond"/>
          <w:sz w:val="30"/>
          <w:szCs w:val="30"/>
          <w:lang w:val="en-ID"/>
        </w:rPr>
        <w:lastRenderedPageBreak/>
        <w:t xml:space="preserve">efficient system of international protection. In the European Union, where harmonized rules aim to </w:t>
      </w:r>
      <w:proofErr w:type="spellStart"/>
      <w:r w:rsidRPr="002D384B">
        <w:rPr>
          <w:rFonts w:ascii="Garamond" w:eastAsia="Lustria" w:hAnsi="Garamond"/>
          <w:sz w:val="30"/>
          <w:szCs w:val="30"/>
          <w:lang w:val="en-ID"/>
        </w:rPr>
        <w:t>estabilish</w:t>
      </w:r>
      <w:proofErr w:type="spellEnd"/>
      <w:r w:rsidRPr="002D384B">
        <w:rPr>
          <w:rFonts w:ascii="Garamond" w:eastAsia="Lustria" w:hAnsi="Garamond"/>
          <w:sz w:val="30"/>
          <w:szCs w:val="30"/>
          <w:lang w:val="en-ID"/>
        </w:rPr>
        <w:t xml:space="preserve"> a unified regime, some Member States (e.g. Hungary, Poland), due to the mass migration crisis that started in 2015 in Europe, introduced policies that practically seize international protection from many asylum seekers.</w:t>
      </w:r>
      <w:r w:rsidRPr="002D384B">
        <w:rPr>
          <w:rFonts w:ascii="Garamond" w:eastAsia="Lustria" w:hAnsi="Garamond"/>
          <w:sz w:val="30"/>
          <w:szCs w:val="30"/>
          <w:vertAlign w:val="superscript"/>
          <w:lang w:val="en-ID"/>
        </w:rPr>
        <w:footnoteReference w:id="5"/>
      </w:r>
    </w:p>
    <w:p w14:paraId="199D434D" w14:textId="77777777" w:rsidR="002D384B" w:rsidRPr="002D384B" w:rsidRDefault="002D384B" w:rsidP="002D384B">
      <w:pPr>
        <w:spacing w:before="120" w:after="120" w:line="276" w:lineRule="auto"/>
        <w:ind w:left="1" w:hanging="3"/>
        <w:jc w:val="both"/>
        <w:rPr>
          <w:rFonts w:ascii="Garamond" w:eastAsia="Lustria" w:hAnsi="Garamond"/>
          <w:sz w:val="30"/>
          <w:szCs w:val="30"/>
          <w:lang w:val="en-ID"/>
        </w:rPr>
      </w:pPr>
      <w:r w:rsidRPr="002D384B">
        <w:rPr>
          <w:rFonts w:ascii="Garamond" w:eastAsia="Lustria" w:hAnsi="Garamond"/>
          <w:sz w:val="30"/>
          <w:szCs w:val="30"/>
          <w:lang w:val="en-ID"/>
        </w:rPr>
        <w:t xml:space="preserve">Indonesia has an important role in participating and encouraging the establishment of a legal framework for the protection of refugees in the ASEAN region. Although to date not all ASEAN member states have ratified the 1951 Refugee Convention and the 1967 Protocol, the obligation to provide protection to refugees remains inherent because the substance of the provisions of the Convention has already becoming international customary law </w:t>
      </w:r>
      <w:r w:rsidRPr="002D384B">
        <w:rPr>
          <w:rFonts w:ascii="Garamond" w:eastAsia="Lustria" w:hAnsi="Garamond"/>
          <w:sz w:val="30"/>
          <w:szCs w:val="30"/>
          <w:vertAlign w:val="superscript"/>
          <w:lang w:val="en-ID"/>
        </w:rPr>
        <w:footnoteReference w:id="6"/>
      </w:r>
      <w:r w:rsidRPr="002D384B">
        <w:rPr>
          <w:rFonts w:ascii="Garamond" w:eastAsia="Lustria" w:hAnsi="Garamond"/>
          <w:sz w:val="30"/>
          <w:szCs w:val="30"/>
          <w:lang w:val="en-ID"/>
        </w:rPr>
        <w:t>. Therefore, refugee protection measures and its legal framework in the ASEAN region need to be established to maintain regional security and stability.</w:t>
      </w:r>
    </w:p>
    <w:p w14:paraId="412BA203" w14:textId="77777777" w:rsidR="002D384B" w:rsidRPr="002D384B" w:rsidRDefault="002D384B" w:rsidP="002D384B">
      <w:pPr>
        <w:spacing w:before="120" w:after="120" w:line="276" w:lineRule="auto"/>
        <w:ind w:left="1" w:hanging="3"/>
        <w:jc w:val="both"/>
        <w:rPr>
          <w:rFonts w:ascii="Garamond" w:eastAsia="Lustria" w:hAnsi="Garamond"/>
          <w:sz w:val="30"/>
          <w:szCs w:val="30"/>
          <w:lang w:val="en-ID"/>
        </w:rPr>
      </w:pPr>
      <w:r w:rsidRPr="002D384B">
        <w:rPr>
          <w:rFonts w:ascii="Garamond" w:eastAsia="Lustria" w:hAnsi="Garamond"/>
          <w:sz w:val="30"/>
          <w:szCs w:val="30"/>
          <w:lang w:val="en-ID"/>
        </w:rPr>
        <w:t xml:space="preserve">As a country with a strategic location for the path of refugees, international refugee protection practices in Indonesia will be examined in this study to provide a comparative picture of an effective legal framework model in providing solutions to the problem of the minimal protection of refugees in Indonesia and generally in the ASEAN region. Normatively, the principle of non-refoulment has been regulated in the 1951 Convention relating to the Status of Refugees and has been recognized as customary international law </w:t>
      </w:r>
      <w:r w:rsidRPr="002D384B">
        <w:rPr>
          <w:rFonts w:ascii="Garamond" w:eastAsia="Lustria" w:hAnsi="Garamond"/>
          <w:sz w:val="30"/>
          <w:szCs w:val="30"/>
          <w:vertAlign w:val="superscript"/>
          <w:lang w:val="en-ID"/>
        </w:rPr>
        <w:footnoteReference w:id="7"/>
      </w:r>
      <w:r w:rsidRPr="002D384B">
        <w:rPr>
          <w:rFonts w:ascii="Garamond" w:eastAsia="Lustria" w:hAnsi="Garamond"/>
          <w:sz w:val="30"/>
          <w:szCs w:val="30"/>
          <w:lang w:val="en-ID"/>
        </w:rPr>
        <w:t>.</w:t>
      </w:r>
    </w:p>
    <w:p w14:paraId="41F31A0B" w14:textId="77777777" w:rsidR="002D384B" w:rsidRPr="002D384B" w:rsidRDefault="002D384B" w:rsidP="002D384B">
      <w:pPr>
        <w:spacing w:before="120" w:after="120" w:line="276" w:lineRule="auto"/>
        <w:ind w:left="1" w:hanging="3"/>
        <w:jc w:val="both"/>
        <w:rPr>
          <w:rFonts w:ascii="Garamond" w:eastAsia="Lustria" w:hAnsi="Garamond"/>
          <w:sz w:val="30"/>
          <w:szCs w:val="30"/>
        </w:rPr>
      </w:pPr>
      <w:r w:rsidRPr="002D384B">
        <w:rPr>
          <w:rFonts w:ascii="Garamond" w:eastAsia="Lustria" w:hAnsi="Garamond"/>
          <w:sz w:val="30"/>
          <w:szCs w:val="30"/>
          <w:lang w:val="en-ID"/>
        </w:rPr>
        <w:t xml:space="preserve">Based on the philosophical basis, this principle is a framework of protection in order to guarantee the fulfilment of human rights to the refugees to be free from persecution on the basis of race, religion, citizenship, and political views in their home country. In fact, the right of everyone to obtain protection from other countries has been universally recognized </w:t>
      </w:r>
      <w:r w:rsidRPr="002D384B">
        <w:rPr>
          <w:rFonts w:ascii="Garamond" w:eastAsia="Lustria" w:hAnsi="Garamond"/>
          <w:sz w:val="30"/>
          <w:szCs w:val="30"/>
          <w:vertAlign w:val="superscript"/>
          <w:lang w:val="en-ID"/>
        </w:rPr>
        <w:footnoteReference w:id="8"/>
      </w:r>
      <w:r w:rsidRPr="002D384B">
        <w:rPr>
          <w:rFonts w:ascii="Garamond" w:eastAsia="Lustria" w:hAnsi="Garamond"/>
          <w:sz w:val="30"/>
          <w:szCs w:val="30"/>
        </w:rPr>
        <w:t>.</w:t>
      </w:r>
    </w:p>
    <w:p w14:paraId="18467ABE" w14:textId="77777777" w:rsidR="002D384B" w:rsidRPr="009B6FAA" w:rsidRDefault="002D384B" w:rsidP="00F243D4">
      <w:pPr>
        <w:spacing w:before="120" w:after="120" w:line="276" w:lineRule="auto"/>
        <w:ind w:left="1" w:hanging="3"/>
        <w:jc w:val="both"/>
        <w:rPr>
          <w:rFonts w:ascii="Garamond" w:eastAsia="Lustria" w:hAnsi="Garamond"/>
          <w:sz w:val="30"/>
          <w:szCs w:val="30"/>
        </w:rPr>
      </w:pPr>
    </w:p>
    <w:p w14:paraId="659C3953" w14:textId="77777777" w:rsidR="003A5838" w:rsidRPr="009B6FAA" w:rsidRDefault="003A5838" w:rsidP="00E9571E">
      <w:pPr>
        <w:spacing w:before="120" w:after="120" w:line="276" w:lineRule="auto"/>
        <w:ind w:left="1" w:hanging="3"/>
        <w:jc w:val="both"/>
        <w:rPr>
          <w:rFonts w:ascii="Garamond" w:eastAsia="Lustria" w:hAnsi="Garamond"/>
          <w:sz w:val="30"/>
          <w:szCs w:val="30"/>
        </w:rPr>
      </w:pPr>
    </w:p>
    <w:p w14:paraId="58C9C495" w14:textId="053738B8" w:rsidR="003A5838" w:rsidRPr="009B6FAA" w:rsidRDefault="003A5838" w:rsidP="003A5838">
      <w:pPr>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b/>
          <w:color w:val="3C4B92"/>
          <w:sz w:val="30"/>
          <w:szCs w:val="30"/>
        </w:rPr>
        <w:lastRenderedPageBreak/>
        <w:t>II. METHOD</w:t>
      </w:r>
      <w:r w:rsidR="00CE68D8" w:rsidRPr="009B6FAA">
        <w:rPr>
          <w:rFonts w:ascii="Adobe Caslon Pro" w:hAnsi="Adobe Caslon Pro"/>
          <w:b/>
          <w:color w:val="3C4B92"/>
          <w:sz w:val="30"/>
          <w:szCs w:val="30"/>
        </w:rPr>
        <w:t>OLOGY</w:t>
      </w:r>
    </w:p>
    <w:p w14:paraId="7D561923" w14:textId="77777777" w:rsidR="002D384B" w:rsidRPr="002D384B" w:rsidRDefault="002D384B" w:rsidP="002D384B">
      <w:pPr>
        <w:spacing w:before="120" w:after="120" w:line="276" w:lineRule="auto"/>
        <w:ind w:left="1" w:hanging="3"/>
        <w:jc w:val="both"/>
        <w:rPr>
          <w:rFonts w:ascii="Garamond" w:hAnsi="Garamond"/>
          <w:sz w:val="30"/>
          <w:szCs w:val="30"/>
        </w:rPr>
      </w:pPr>
      <w:r w:rsidRPr="002D384B">
        <w:rPr>
          <w:rFonts w:ascii="Garamond" w:hAnsi="Garamond"/>
          <w:sz w:val="30"/>
          <w:szCs w:val="30"/>
        </w:rPr>
        <w:t>With the method of mixed legal research (normative and empirical), this study will examine the philosophical, sociological, and juridical aspects of providing legal protection for refugees with comparative approaches both in Indonesia and in Hungary. The outcome of this study is expected to contribute to the development of the principle of non-refoulment, especially related to the implementation of the principle which can be implemented in various ways to adjust the empirical conditions without prejudice to the basic rules that have been applied in customary international law.</w:t>
      </w:r>
    </w:p>
    <w:p w14:paraId="6E8013F6" w14:textId="77777777" w:rsidR="00A07DFD" w:rsidRPr="009B6FAA" w:rsidRDefault="00A07DFD" w:rsidP="008C5FA7">
      <w:pPr>
        <w:spacing w:before="120" w:after="120" w:line="276" w:lineRule="auto"/>
        <w:ind w:leftChars="0" w:left="0" w:firstLineChars="0" w:firstLine="0"/>
        <w:jc w:val="both"/>
        <w:rPr>
          <w:rFonts w:ascii="Garamond" w:hAnsi="Garamond"/>
          <w:sz w:val="30"/>
          <w:szCs w:val="30"/>
        </w:rPr>
      </w:pPr>
    </w:p>
    <w:p w14:paraId="372974C6" w14:textId="3A3A8E65" w:rsidR="002D384B" w:rsidRPr="002D384B" w:rsidRDefault="000D5A39" w:rsidP="002D384B">
      <w:pPr>
        <w:spacing w:before="120" w:after="120" w:line="276" w:lineRule="auto"/>
        <w:ind w:leftChars="0" w:left="1" w:firstLineChars="0" w:firstLine="0"/>
        <w:jc w:val="center"/>
        <w:rPr>
          <w:rFonts w:ascii="Adobe Caslon Pro" w:hAnsi="Adobe Caslon Pro"/>
          <w:b/>
          <w:color w:val="3C4B92"/>
          <w:sz w:val="30"/>
          <w:szCs w:val="30"/>
          <w:lang w:val="en-GB"/>
        </w:rPr>
      </w:pPr>
      <w:r w:rsidRPr="009B6FAA">
        <w:rPr>
          <w:rFonts w:ascii="Adobe Caslon Pro" w:hAnsi="Adobe Caslon Pro"/>
          <w:b/>
          <w:color w:val="3C4B92"/>
          <w:sz w:val="30"/>
          <w:szCs w:val="30"/>
        </w:rPr>
        <w:t>I</w:t>
      </w:r>
      <w:r w:rsidR="003A5838" w:rsidRPr="009B6FAA">
        <w:rPr>
          <w:rFonts w:ascii="Adobe Caslon Pro" w:hAnsi="Adobe Caslon Pro"/>
          <w:b/>
          <w:color w:val="3C4B92"/>
          <w:sz w:val="30"/>
          <w:szCs w:val="30"/>
        </w:rPr>
        <w:t>I</w:t>
      </w:r>
      <w:r w:rsidR="00117F6F" w:rsidRPr="009B6FAA">
        <w:rPr>
          <w:rFonts w:ascii="Adobe Caslon Pro" w:hAnsi="Adobe Caslon Pro"/>
          <w:b/>
          <w:color w:val="3C4B92"/>
          <w:sz w:val="30"/>
          <w:szCs w:val="30"/>
        </w:rPr>
        <w:t>I</w:t>
      </w:r>
      <w:r w:rsidRPr="009B6FAA">
        <w:rPr>
          <w:rFonts w:ascii="Adobe Caslon Pro" w:hAnsi="Adobe Caslon Pro"/>
          <w:b/>
          <w:color w:val="3C4B92"/>
          <w:sz w:val="30"/>
          <w:szCs w:val="30"/>
        </w:rPr>
        <w:t xml:space="preserve">. </w:t>
      </w:r>
      <w:r w:rsidR="002D384B" w:rsidRPr="002D384B">
        <w:rPr>
          <w:rFonts w:ascii="Adobe Caslon Pro" w:hAnsi="Adobe Caslon Pro"/>
          <w:b/>
          <w:color w:val="3C4B92"/>
          <w:sz w:val="30"/>
          <w:szCs w:val="30"/>
          <w:lang w:val="en-GB"/>
        </w:rPr>
        <w:t>REFUGEE PROTECTION UNDER INTERNATIONAL LAW</w:t>
      </w:r>
    </w:p>
    <w:p w14:paraId="00000015" w14:textId="4C71A6FF" w:rsidR="00DA62DD" w:rsidRPr="009B6FAA" w:rsidRDefault="00DA62DD" w:rsidP="00A07DFD">
      <w:pPr>
        <w:spacing w:before="120" w:after="120" w:line="276" w:lineRule="auto"/>
        <w:ind w:left="1" w:hanging="3"/>
        <w:jc w:val="center"/>
        <w:rPr>
          <w:rFonts w:ascii="Adobe Caslon Pro" w:hAnsi="Adobe Caslon Pro"/>
          <w:color w:val="3C4B92"/>
          <w:sz w:val="30"/>
          <w:szCs w:val="30"/>
        </w:rPr>
      </w:pPr>
    </w:p>
    <w:p w14:paraId="7BA0BD4B" w14:textId="051DB777" w:rsidR="0015585D" w:rsidRPr="009B6FAA" w:rsidRDefault="003A4E60" w:rsidP="00E9571E">
      <w:pPr>
        <w:spacing w:before="120" w:after="120" w:line="276" w:lineRule="auto"/>
        <w:ind w:left="1" w:hanging="3"/>
        <w:jc w:val="both"/>
        <w:rPr>
          <w:rFonts w:ascii="Garamond" w:hAnsi="Garamond"/>
          <w:sz w:val="30"/>
          <w:szCs w:val="30"/>
        </w:rPr>
      </w:pPr>
      <w:r w:rsidRPr="009B6FAA">
        <w:rPr>
          <w:rFonts w:ascii="Garamond" w:hAnsi="Garamond"/>
          <w:sz w:val="30"/>
          <w:szCs w:val="30"/>
        </w:rPr>
        <w:t>It</w:t>
      </w:r>
      <w:r w:rsidR="000D5A39" w:rsidRPr="009B6FAA">
        <w:rPr>
          <w:rFonts w:ascii="Garamond" w:hAnsi="Garamond"/>
          <w:sz w:val="30"/>
          <w:szCs w:val="30"/>
        </w:rPr>
        <w:t xml:space="preserve"> is </w:t>
      </w:r>
      <w:r w:rsidRPr="009B6FAA">
        <w:rPr>
          <w:rFonts w:ascii="Garamond" w:hAnsi="Garamond"/>
          <w:sz w:val="30"/>
          <w:szCs w:val="30"/>
        </w:rPr>
        <w:t>an important</w:t>
      </w:r>
      <w:r w:rsidR="000D5A39" w:rsidRPr="009B6FAA">
        <w:rPr>
          <w:rFonts w:ascii="Garamond" w:hAnsi="Garamond"/>
          <w:sz w:val="30"/>
          <w:szCs w:val="30"/>
        </w:rPr>
        <w:t xml:space="preserve"> section of your </w:t>
      </w:r>
      <w:r w:rsidRPr="009B6FAA">
        <w:rPr>
          <w:rFonts w:ascii="Garamond" w:hAnsi="Garamond"/>
          <w:sz w:val="30"/>
          <w:szCs w:val="30"/>
        </w:rPr>
        <w:t>manuscript</w:t>
      </w:r>
      <w:r w:rsidR="000D5A39" w:rsidRPr="009B6FAA">
        <w:rPr>
          <w:rFonts w:ascii="Garamond" w:hAnsi="Garamond"/>
          <w:sz w:val="30"/>
          <w:szCs w:val="30"/>
        </w:rPr>
        <w:t>. The analysis should be clear and concise. Heading in the discussion section should be consistently written with the structure of the article</w:t>
      </w:r>
      <w:r w:rsidRPr="009B6FAA">
        <w:rPr>
          <w:rFonts w:ascii="Garamond" w:hAnsi="Garamond"/>
          <w:sz w:val="30"/>
          <w:szCs w:val="30"/>
        </w:rPr>
        <w:t xml:space="preserve"> or the research statement, as mentioned</w:t>
      </w:r>
      <w:r w:rsidR="000D5A39" w:rsidRPr="009B6FAA">
        <w:rPr>
          <w:rFonts w:ascii="Garamond" w:hAnsi="Garamond"/>
          <w:sz w:val="30"/>
          <w:szCs w:val="30"/>
        </w:rPr>
        <w:t xml:space="preserve"> in the introduction. Headings in this discussion use Roman letters (I., II., III., etc.; you can add more than one part of the discussion, it depends on </w:t>
      </w:r>
      <w:r w:rsidRPr="009B6FAA">
        <w:rPr>
          <w:rFonts w:ascii="Garamond" w:hAnsi="Garamond"/>
          <w:sz w:val="30"/>
          <w:szCs w:val="30"/>
        </w:rPr>
        <w:t>the</w:t>
      </w:r>
      <w:r w:rsidR="000D5A39" w:rsidRPr="009B6FAA">
        <w:rPr>
          <w:rFonts w:ascii="Garamond" w:hAnsi="Garamond"/>
          <w:sz w:val="30"/>
          <w:szCs w:val="30"/>
        </w:rPr>
        <w:t xml:space="preserve"> structure of the discussion you want to write). </w:t>
      </w:r>
    </w:p>
    <w:p w14:paraId="0000001A" w14:textId="77777777" w:rsidR="00DA62DD" w:rsidRPr="009B6FAA" w:rsidRDefault="00DA62DD" w:rsidP="00A07DFD">
      <w:pPr>
        <w:spacing w:before="120" w:after="120" w:line="276" w:lineRule="auto"/>
        <w:ind w:left="1" w:hanging="3"/>
        <w:rPr>
          <w:rFonts w:ascii="Garamond" w:hAnsi="Garamond"/>
          <w:sz w:val="30"/>
          <w:szCs w:val="30"/>
        </w:rPr>
      </w:pPr>
    </w:p>
    <w:p w14:paraId="0000001B" w14:textId="618B2E2A" w:rsidR="00DA62DD" w:rsidRPr="009B6FAA" w:rsidRDefault="000D5A39" w:rsidP="00A07DFD">
      <w:pPr>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i/>
          <w:color w:val="3C4B92"/>
          <w:sz w:val="30"/>
          <w:szCs w:val="30"/>
        </w:rPr>
        <w:t xml:space="preserve">A. </w:t>
      </w:r>
      <w:r w:rsidR="00120943" w:rsidRPr="00120943">
        <w:rPr>
          <w:rFonts w:ascii="Adobe Caslon Pro" w:hAnsi="Adobe Caslon Pro"/>
          <w:i/>
          <w:color w:val="3C4B92"/>
          <w:sz w:val="30"/>
          <w:szCs w:val="30"/>
        </w:rPr>
        <w:t>F</w:t>
      </w:r>
      <w:r w:rsidR="00120943" w:rsidRPr="00120943">
        <w:rPr>
          <w:rFonts w:ascii="Adobe Caslon Pro" w:hAnsi="Adobe Caslon Pro"/>
          <w:i/>
          <w:color w:val="3C4B92"/>
          <w:sz w:val="30"/>
          <w:szCs w:val="30"/>
        </w:rPr>
        <w:t>undamental Rights of Refugee</w:t>
      </w:r>
    </w:p>
    <w:p w14:paraId="6B9EE134" w14:textId="77777777" w:rsidR="00120943"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 xml:space="preserve">The values </w:t>
      </w:r>
      <w:r w:rsidRPr="00120943">
        <w:rPr>
          <w:rFonts w:ascii="Times New Roman" w:hAnsi="Times New Roman" w:cs="Times New Roman"/>
          <w:iCs/>
          <w:sz w:val="30"/>
          <w:szCs w:val="30"/>
        </w:rPr>
        <w:t>​​</w:t>
      </w:r>
      <w:r w:rsidRPr="00120943">
        <w:rPr>
          <w:rFonts w:ascii="Garamond" w:hAnsi="Garamond"/>
          <w:iCs/>
          <w:sz w:val="30"/>
          <w:szCs w:val="30"/>
        </w:rPr>
        <w:t xml:space="preserve">and norms of the right to refugees basically have a very close ties to the concept of human rights. Codification of universal human rights values </w:t>
      </w:r>
      <w:r w:rsidRPr="00120943">
        <w:rPr>
          <w:rFonts w:ascii="Times New Roman" w:hAnsi="Times New Roman" w:cs="Times New Roman"/>
          <w:iCs/>
          <w:sz w:val="30"/>
          <w:szCs w:val="30"/>
        </w:rPr>
        <w:t>​​</w:t>
      </w:r>
      <w:r w:rsidRPr="00120943">
        <w:rPr>
          <w:rFonts w:ascii="Garamond" w:hAnsi="Garamond"/>
          <w:iCs/>
          <w:sz w:val="30"/>
          <w:szCs w:val="30"/>
        </w:rPr>
        <w:t>into the Universal Declaration of Human Rights</w:t>
      </w:r>
      <w:r w:rsidRPr="00120943">
        <w:rPr>
          <w:rFonts w:ascii="Garamond" w:hAnsi="Garamond"/>
          <w:iCs/>
          <w:sz w:val="30"/>
          <w:szCs w:val="30"/>
          <w:vertAlign w:val="superscript"/>
        </w:rPr>
        <w:footnoteReference w:id="9"/>
      </w:r>
      <w:r w:rsidRPr="00120943">
        <w:rPr>
          <w:rFonts w:ascii="Garamond" w:hAnsi="Garamond"/>
          <w:iCs/>
          <w:sz w:val="30"/>
          <w:szCs w:val="30"/>
        </w:rPr>
        <w:t xml:space="preserve"> inspired the concept of protecting the rights of refugees through multilateral agreements. For this reason, the basic values </w:t>
      </w:r>
      <w:r w:rsidRPr="00120943">
        <w:rPr>
          <w:rFonts w:ascii="Times New Roman" w:hAnsi="Times New Roman" w:cs="Times New Roman"/>
          <w:iCs/>
          <w:sz w:val="30"/>
          <w:szCs w:val="30"/>
        </w:rPr>
        <w:t>​​</w:t>
      </w:r>
      <w:r w:rsidRPr="00120943">
        <w:rPr>
          <w:rFonts w:ascii="Garamond" w:hAnsi="Garamond"/>
          <w:iCs/>
          <w:sz w:val="30"/>
          <w:szCs w:val="30"/>
        </w:rPr>
        <w:t>of human rights associated with refugees are well adopted in the 1951 Refugee Convention and the 1967 Protocol.</w:t>
      </w:r>
    </w:p>
    <w:p w14:paraId="49328B51" w14:textId="77777777" w:rsidR="00120943"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 xml:space="preserve">According to </w:t>
      </w:r>
      <w:proofErr w:type="spellStart"/>
      <w:r w:rsidRPr="00120943">
        <w:rPr>
          <w:rFonts w:ascii="Garamond" w:hAnsi="Garamond"/>
          <w:iCs/>
          <w:sz w:val="30"/>
          <w:szCs w:val="30"/>
        </w:rPr>
        <w:t>Huijbers</w:t>
      </w:r>
      <w:proofErr w:type="spellEnd"/>
      <w:r w:rsidRPr="00120943">
        <w:rPr>
          <w:rFonts w:ascii="Garamond" w:hAnsi="Garamond"/>
          <w:iCs/>
          <w:sz w:val="30"/>
          <w:szCs w:val="30"/>
        </w:rPr>
        <w:t xml:space="preserve"> </w:t>
      </w:r>
      <w:r w:rsidRPr="00120943">
        <w:rPr>
          <w:rFonts w:ascii="Garamond" w:hAnsi="Garamond"/>
          <w:iCs/>
          <w:sz w:val="30"/>
          <w:szCs w:val="30"/>
          <w:vertAlign w:val="superscript"/>
        </w:rPr>
        <w:footnoteReference w:id="10"/>
      </w:r>
      <w:r w:rsidRPr="00120943">
        <w:rPr>
          <w:rFonts w:ascii="Garamond" w:hAnsi="Garamond"/>
          <w:iCs/>
          <w:sz w:val="30"/>
          <w:szCs w:val="30"/>
        </w:rPr>
        <w:t xml:space="preserve">, human rights are the rights that are possessed and attached to the human being acquired and brought with him in his birth or presence in the life of society because he has a privilege which opens the </w:t>
      </w:r>
      <w:r w:rsidRPr="00120943">
        <w:rPr>
          <w:rFonts w:ascii="Garamond" w:hAnsi="Garamond"/>
          <w:iCs/>
          <w:sz w:val="30"/>
          <w:szCs w:val="30"/>
        </w:rPr>
        <w:lastRenderedPageBreak/>
        <w:t xml:space="preserve">possibility for him to be treated according to his privileges. Human rights internationally </w:t>
      </w:r>
      <w:proofErr w:type="gramStart"/>
      <w:r w:rsidRPr="00120943">
        <w:rPr>
          <w:rFonts w:ascii="Garamond" w:hAnsi="Garamond"/>
          <w:iCs/>
          <w:sz w:val="30"/>
          <w:szCs w:val="30"/>
        </w:rPr>
        <w:t>has</w:t>
      </w:r>
      <w:proofErr w:type="gramEnd"/>
      <w:r w:rsidRPr="00120943">
        <w:rPr>
          <w:rFonts w:ascii="Garamond" w:hAnsi="Garamond"/>
          <w:iCs/>
          <w:sz w:val="30"/>
          <w:szCs w:val="30"/>
        </w:rPr>
        <w:t xml:space="preserve"> been recognized and embodied in the form of basic rights embedded in dignified human beings such as: civil and political rights, freedom from oppression, freedom from detention without going through a valid and fair trial, the right of protection as an individual with natural rights which </w:t>
      </w:r>
      <w:proofErr w:type="spellStart"/>
      <w:r w:rsidRPr="00120943">
        <w:rPr>
          <w:rFonts w:ascii="Garamond" w:hAnsi="Garamond"/>
          <w:iCs/>
          <w:sz w:val="30"/>
          <w:szCs w:val="30"/>
        </w:rPr>
        <w:t>can not</w:t>
      </w:r>
      <w:proofErr w:type="spellEnd"/>
      <w:r w:rsidRPr="00120943">
        <w:rPr>
          <w:rFonts w:ascii="Garamond" w:hAnsi="Garamond"/>
          <w:iCs/>
          <w:sz w:val="30"/>
          <w:szCs w:val="30"/>
        </w:rPr>
        <w:t xml:space="preserve"> be contested, and taken by anyone or from any party Robertson</w:t>
      </w:r>
      <w:r w:rsidRPr="00120943">
        <w:rPr>
          <w:rFonts w:ascii="Garamond" w:hAnsi="Garamond"/>
          <w:iCs/>
          <w:sz w:val="30"/>
          <w:szCs w:val="30"/>
          <w:vertAlign w:val="superscript"/>
        </w:rPr>
        <w:footnoteReference w:id="11"/>
      </w:r>
      <w:r w:rsidRPr="00120943">
        <w:rPr>
          <w:rFonts w:ascii="Garamond" w:hAnsi="Garamond"/>
          <w:iCs/>
          <w:sz w:val="30"/>
          <w:szCs w:val="30"/>
        </w:rPr>
        <w:t>; Nickel</w:t>
      </w:r>
      <w:r w:rsidRPr="00120943">
        <w:rPr>
          <w:rFonts w:ascii="Garamond" w:hAnsi="Garamond"/>
          <w:iCs/>
          <w:sz w:val="30"/>
          <w:szCs w:val="30"/>
          <w:vertAlign w:val="superscript"/>
        </w:rPr>
        <w:footnoteReference w:id="12"/>
      </w:r>
      <w:r w:rsidRPr="00120943">
        <w:rPr>
          <w:rFonts w:ascii="Garamond" w:hAnsi="Garamond"/>
          <w:iCs/>
          <w:sz w:val="30"/>
          <w:szCs w:val="30"/>
        </w:rPr>
        <w:t>; Donnelly</w:t>
      </w:r>
      <w:r w:rsidRPr="00120943">
        <w:rPr>
          <w:rFonts w:ascii="Garamond" w:hAnsi="Garamond"/>
          <w:iCs/>
          <w:sz w:val="30"/>
          <w:szCs w:val="30"/>
          <w:vertAlign w:val="superscript"/>
        </w:rPr>
        <w:footnoteReference w:id="13"/>
      </w:r>
      <w:r w:rsidRPr="00120943">
        <w:rPr>
          <w:rFonts w:ascii="Garamond" w:hAnsi="Garamond"/>
          <w:iCs/>
          <w:sz w:val="30"/>
          <w:szCs w:val="30"/>
        </w:rPr>
        <w:t>.</w:t>
      </w:r>
    </w:p>
    <w:p w14:paraId="3317785F" w14:textId="77777777" w:rsidR="00120943"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The State must guarantee and protect human rights that have become a social construct built on humanity based on a moral conception to foster its humanitarian vision</w:t>
      </w:r>
      <w:r w:rsidRPr="00120943">
        <w:rPr>
          <w:rFonts w:ascii="Garamond" w:hAnsi="Garamond"/>
          <w:iCs/>
          <w:sz w:val="30"/>
          <w:szCs w:val="30"/>
          <w:vertAlign w:val="superscript"/>
        </w:rPr>
        <w:footnoteReference w:id="14"/>
      </w:r>
      <w:r w:rsidRPr="00120943">
        <w:rPr>
          <w:rFonts w:ascii="Garamond" w:hAnsi="Garamond"/>
          <w:iCs/>
          <w:sz w:val="30"/>
          <w:szCs w:val="30"/>
        </w:rPr>
        <w:t>. The protection guarantee is then implemented through the state constitution along with the prevailing laws and regulations</w:t>
      </w:r>
      <w:r w:rsidRPr="00120943">
        <w:rPr>
          <w:rFonts w:ascii="Garamond" w:hAnsi="Garamond"/>
          <w:iCs/>
          <w:sz w:val="30"/>
          <w:szCs w:val="30"/>
          <w:vertAlign w:val="superscript"/>
        </w:rPr>
        <w:footnoteReference w:id="15"/>
      </w:r>
      <w:r w:rsidRPr="00120943">
        <w:rPr>
          <w:rFonts w:ascii="Garamond" w:hAnsi="Garamond"/>
          <w:iCs/>
          <w:sz w:val="30"/>
          <w:szCs w:val="30"/>
        </w:rPr>
        <w:t xml:space="preserve">. The regulation of human rights into the national legal system is not a guarantee of good human rights in the light of the fact that human rights violations often </w:t>
      </w:r>
      <w:proofErr w:type="gramStart"/>
      <w:r w:rsidRPr="00120943">
        <w:rPr>
          <w:rFonts w:ascii="Garamond" w:hAnsi="Garamond"/>
          <w:iCs/>
          <w:sz w:val="30"/>
          <w:szCs w:val="30"/>
        </w:rPr>
        <w:t>occur</w:t>
      </w:r>
      <w:proofErr w:type="gramEnd"/>
      <w:r w:rsidRPr="00120943">
        <w:rPr>
          <w:rFonts w:ascii="Garamond" w:hAnsi="Garamond"/>
          <w:iCs/>
          <w:sz w:val="30"/>
          <w:szCs w:val="30"/>
        </w:rPr>
        <w:t xml:space="preserve"> and universal human rights values </w:t>
      </w:r>
      <w:r w:rsidRPr="00120943">
        <w:rPr>
          <w:rFonts w:ascii="Times New Roman" w:hAnsi="Times New Roman" w:cs="Times New Roman"/>
          <w:iCs/>
          <w:sz w:val="30"/>
          <w:szCs w:val="30"/>
        </w:rPr>
        <w:t>​​</w:t>
      </w:r>
      <w:r w:rsidRPr="00120943">
        <w:rPr>
          <w:rFonts w:ascii="Garamond" w:hAnsi="Garamond"/>
          <w:iCs/>
          <w:sz w:val="30"/>
          <w:szCs w:val="30"/>
        </w:rPr>
        <w:t>and norms are often ignored. Thus, the World Conference on Human Rights held in Vienna, Austria in 1993, resumed in 1997 and 2002, resolves five (5) important points: (1) Human rights are universal; (2) the international community must maintain human rights; (3) consider cultural, social, and cultural pluralism in the implementation of human rights; (4) every state is required to guarantee human rights without taking refuge behind relativism; and (5) developed countries need to help developing countries without violating human rights</w:t>
      </w:r>
      <w:r w:rsidRPr="00120943">
        <w:rPr>
          <w:rFonts w:ascii="Garamond" w:hAnsi="Garamond"/>
          <w:iCs/>
          <w:sz w:val="30"/>
          <w:szCs w:val="30"/>
          <w:vertAlign w:val="superscript"/>
        </w:rPr>
        <w:footnoteReference w:id="16"/>
      </w:r>
      <w:r w:rsidRPr="00120943">
        <w:rPr>
          <w:rFonts w:ascii="Garamond" w:hAnsi="Garamond"/>
          <w:iCs/>
          <w:sz w:val="30"/>
          <w:szCs w:val="30"/>
        </w:rPr>
        <w:t>.</w:t>
      </w:r>
    </w:p>
    <w:p w14:paraId="2671951A" w14:textId="77777777" w:rsidR="00120943"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 xml:space="preserve">International refugees are, of course, forced to leave their home country to other countries to secure human rights protection. The process of finding a region or country that provides a sense of security to refugees must of course be protected by basing on universal human rights norms. If their home country has changed </w:t>
      </w:r>
      <w:r w:rsidRPr="00120943">
        <w:rPr>
          <w:rFonts w:ascii="Garamond" w:hAnsi="Garamond"/>
          <w:iCs/>
          <w:sz w:val="30"/>
          <w:szCs w:val="30"/>
        </w:rPr>
        <w:lastRenderedPageBreak/>
        <w:t>well, refugees may return to their home country or build their own communities to enjoy their human rights</w:t>
      </w:r>
      <w:r w:rsidRPr="00120943">
        <w:rPr>
          <w:rFonts w:ascii="Garamond" w:hAnsi="Garamond"/>
          <w:iCs/>
          <w:sz w:val="30"/>
          <w:szCs w:val="30"/>
          <w:vertAlign w:val="superscript"/>
        </w:rPr>
        <w:footnoteReference w:id="17"/>
      </w:r>
      <w:r w:rsidRPr="00120943">
        <w:rPr>
          <w:rFonts w:ascii="Garamond" w:hAnsi="Garamond"/>
          <w:iCs/>
          <w:sz w:val="30"/>
          <w:szCs w:val="30"/>
        </w:rPr>
        <w:t>.</w:t>
      </w:r>
    </w:p>
    <w:p w14:paraId="6E71CFF3" w14:textId="77777777" w:rsidR="00120943"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The guarantee of human rights protection for internally displaced persons is in fact set out in Article 14 of the Universal Declaration of Human Rights that guarantees "the right to seek and enjoy in other countries asylum from persecution"</w:t>
      </w:r>
      <w:r w:rsidRPr="00120943">
        <w:rPr>
          <w:rFonts w:ascii="Garamond" w:hAnsi="Garamond"/>
          <w:iCs/>
          <w:sz w:val="30"/>
          <w:szCs w:val="30"/>
          <w:vertAlign w:val="superscript"/>
        </w:rPr>
        <w:footnoteReference w:id="18"/>
      </w:r>
      <w:r w:rsidRPr="00120943">
        <w:rPr>
          <w:rFonts w:ascii="Garamond" w:hAnsi="Garamond"/>
          <w:iCs/>
          <w:sz w:val="30"/>
          <w:szCs w:val="30"/>
        </w:rPr>
        <w:t>. Referring to the guarantees of the Universal Declaration of Human Rights, the preamble to the 1951 Convention also stipulates that "the principle that human beings shall enjoy fundamental rights and freedoms without discrimination"</w:t>
      </w:r>
      <w:r w:rsidRPr="00120943">
        <w:rPr>
          <w:rFonts w:ascii="Garamond" w:hAnsi="Garamond"/>
          <w:iCs/>
          <w:sz w:val="30"/>
          <w:szCs w:val="30"/>
          <w:vertAlign w:val="superscript"/>
        </w:rPr>
        <w:footnoteReference w:id="19"/>
      </w:r>
      <w:r w:rsidRPr="00120943">
        <w:rPr>
          <w:rFonts w:ascii="Garamond" w:hAnsi="Garamond"/>
          <w:iCs/>
          <w:sz w:val="30"/>
          <w:szCs w:val="30"/>
        </w:rPr>
        <w:t>.</w:t>
      </w:r>
    </w:p>
    <w:p w14:paraId="00000020" w14:textId="7ED345A3" w:rsidR="00DA62DD" w:rsidRPr="00120943" w:rsidRDefault="00120943" w:rsidP="00120943">
      <w:pPr>
        <w:spacing w:before="120" w:after="120" w:line="276" w:lineRule="auto"/>
        <w:ind w:left="1" w:hanging="3"/>
        <w:jc w:val="both"/>
        <w:rPr>
          <w:rFonts w:ascii="Garamond" w:hAnsi="Garamond"/>
          <w:iCs/>
          <w:sz w:val="30"/>
          <w:szCs w:val="30"/>
        </w:rPr>
      </w:pPr>
      <w:r w:rsidRPr="00120943">
        <w:rPr>
          <w:rFonts w:ascii="Garamond" w:hAnsi="Garamond"/>
          <w:iCs/>
          <w:sz w:val="30"/>
          <w:szCs w:val="30"/>
        </w:rPr>
        <w:t>Some of the refugee human rights that must be guaranteed and protected under international refugee law include:</w:t>
      </w:r>
    </w:p>
    <w:p w14:paraId="00000021" w14:textId="3CB8BDBF" w:rsidR="00DA62DD" w:rsidRPr="009B6FAA" w:rsidRDefault="000D5A39" w:rsidP="004557F3">
      <w:pPr>
        <w:spacing w:before="120" w:after="120" w:line="276" w:lineRule="auto"/>
        <w:ind w:leftChars="0" w:left="1" w:firstLineChars="0" w:firstLine="0"/>
        <w:jc w:val="center"/>
        <w:rPr>
          <w:rFonts w:ascii="Adobe Caslon Pro" w:hAnsi="Adobe Caslon Pro"/>
          <w:color w:val="3C4B92"/>
          <w:sz w:val="30"/>
          <w:szCs w:val="30"/>
        </w:rPr>
      </w:pPr>
      <w:r w:rsidRPr="009B6FAA">
        <w:rPr>
          <w:rFonts w:ascii="Adobe Caslon Pro" w:hAnsi="Adobe Caslon Pro"/>
          <w:color w:val="3C4B92"/>
          <w:sz w:val="30"/>
          <w:szCs w:val="30"/>
        </w:rPr>
        <w:t>1. T</w:t>
      </w:r>
      <w:r w:rsidR="00120943" w:rsidRPr="00120943">
        <w:rPr>
          <w:rFonts w:ascii="Adobe Caslon Pro" w:hAnsi="Adobe Caslon Pro"/>
          <w:color w:val="3C4B92"/>
          <w:sz w:val="30"/>
          <w:szCs w:val="30"/>
        </w:rPr>
        <w:t>he right to protection against refoulment</w:t>
      </w:r>
      <w:r w:rsidRPr="009B6FAA">
        <w:rPr>
          <w:rFonts w:ascii="Adobe Caslon Pro" w:hAnsi="Adobe Caslon Pro"/>
          <w:color w:val="3C4B92"/>
          <w:sz w:val="30"/>
          <w:szCs w:val="30"/>
        </w:rPr>
        <w:t xml:space="preserve"> </w:t>
      </w:r>
    </w:p>
    <w:p w14:paraId="157B3722" w14:textId="16542CB8" w:rsidR="00120943" w:rsidRDefault="00120943" w:rsidP="00120943">
      <w:pPr>
        <w:spacing w:before="120" w:after="120" w:line="276" w:lineRule="auto"/>
        <w:ind w:left="1" w:hanging="3"/>
        <w:jc w:val="both"/>
        <w:rPr>
          <w:rFonts w:ascii="Garamond" w:hAnsi="Garamond"/>
          <w:sz w:val="30"/>
          <w:szCs w:val="30"/>
        </w:rPr>
      </w:pPr>
      <w:r w:rsidRPr="00120943">
        <w:rPr>
          <w:rFonts w:ascii="Garamond" w:hAnsi="Garamond"/>
          <w:sz w:val="30"/>
          <w:szCs w:val="30"/>
        </w:rPr>
        <w:t>The purpose of refugees protecting outside their home country is to avoid human rights violations against them. Therefore, in international refugee law, refugees are given assurances that every country is forbidden to return the refugees to their home countries. This guarantee of human rights is better known as the principle of non-refoulment. The theoretical concepts and problems in practice related to the principle of non-refoulment will be discussed in more detail in Chapter V of this research report.</w:t>
      </w:r>
    </w:p>
    <w:p w14:paraId="63B133CD" w14:textId="5BDE7BCF" w:rsidR="004557F3" w:rsidRDefault="004557F3" w:rsidP="004557F3">
      <w:pPr>
        <w:spacing w:before="120" w:after="120" w:line="276" w:lineRule="auto"/>
        <w:ind w:leftChars="0" w:left="1" w:firstLineChars="0" w:firstLine="0"/>
        <w:jc w:val="center"/>
        <w:rPr>
          <w:rFonts w:ascii="Adobe Caslon Pro" w:hAnsi="Adobe Caslon Pro"/>
          <w:color w:val="3C4B92"/>
          <w:sz w:val="30"/>
          <w:szCs w:val="30"/>
        </w:rPr>
      </w:pPr>
      <w:r>
        <w:rPr>
          <w:rFonts w:ascii="Adobe Caslon Pro" w:hAnsi="Adobe Caslon Pro"/>
          <w:color w:val="3C4B92"/>
          <w:sz w:val="30"/>
          <w:szCs w:val="30"/>
        </w:rPr>
        <w:t>2</w:t>
      </w:r>
      <w:r w:rsidRPr="009B6FAA">
        <w:rPr>
          <w:rFonts w:ascii="Adobe Caslon Pro" w:hAnsi="Adobe Caslon Pro"/>
          <w:color w:val="3C4B92"/>
          <w:sz w:val="30"/>
          <w:szCs w:val="30"/>
        </w:rPr>
        <w:t>. T</w:t>
      </w:r>
      <w:r w:rsidRPr="00120943">
        <w:rPr>
          <w:rFonts w:ascii="Adobe Caslon Pro" w:hAnsi="Adobe Caslon Pro"/>
          <w:color w:val="3C4B92"/>
          <w:sz w:val="30"/>
          <w:szCs w:val="30"/>
        </w:rPr>
        <w:t>he righ</w:t>
      </w:r>
      <w:r>
        <w:rPr>
          <w:rFonts w:ascii="Adobe Caslon Pro" w:hAnsi="Adobe Caslon Pro"/>
          <w:color w:val="3C4B92"/>
          <w:sz w:val="30"/>
          <w:szCs w:val="30"/>
        </w:rPr>
        <w:t xml:space="preserve">t </w:t>
      </w:r>
      <w:r w:rsidRPr="004557F3">
        <w:rPr>
          <w:rFonts w:ascii="Adobe Caslon Pro" w:hAnsi="Adobe Caslon Pro"/>
          <w:color w:val="3C4B92"/>
          <w:sz w:val="30"/>
          <w:szCs w:val="30"/>
        </w:rPr>
        <w:t>to seek asylum</w:t>
      </w:r>
    </w:p>
    <w:p w14:paraId="2D3E886C" w14:textId="61976FDA" w:rsidR="004557F3" w:rsidRPr="004557F3" w:rsidRDefault="004557F3" w:rsidP="004557F3">
      <w:pPr>
        <w:spacing w:before="120" w:after="120" w:line="276" w:lineRule="auto"/>
        <w:ind w:left="1" w:hanging="3"/>
        <w:jc w:val="both"/>
        <w:rPr>
          <w:rFonts w:ascii="Garamond" w:hAnsi="Garamond"/>
          <w:sz w:val="30"/>
          <w:szCs w:val="30"/>
        </w:rPr>
      </w:pPr>
      <w:r w:rsidRPr="004557F3">
        <w:rPr>
          <w:rFonts w:ascii="Garamond" w:hAnsi="Garamond"/>
          <w:sz w:val="30"/>
          <w:szCs w:val="30"/>
        </w:rPr>
        <w:t xml:space="preserve">International refugees are guaranteed the right to seek asylum to protect their own safety. They are entitled to apply for asylum to other countries (outside their country of origin) as </w:t>
      </w:r>
      <w:proofErr w:type="gramStart"/>
      <w:r w:rsidRPr="004557F3">
        <w:rPr>
          <w:rFonts w:ascii="Garamond" w:hAnsi="Garamond"/>
          <w:sz w:val="30"/>
          <w:szCs w:val="30"/>
        </w:rPr>
        <w:t>a safe haven</w:t>
      </w:r>
      <w:proofErr w:type="gramEnd"/>
      <w:r w:rsidRPr="004557F3">
        <w:rPr>
          <w:rFonts w:ascii="Garamond" w:hAnsi="Garamond"/>
          <w:sz w:val="30"/>
          <w:szCs w:val="30"/>
        </w:rPr>
        <w:t xml:space="preserve"> because of the backdrop of fear of persecution in their home country</w:t>
      </w:r>
      <w:r w:rsidRPr="004557F3">
        <w:rPr>
          <w:rFonts w:ascii="Garamond" w:hAnsi="Garamond"/>
          <w:sz w:val="30"/>
          <w:szCs w:val="30"/>
          <w:vertAlign w:val="superscript"/>
        </w:rPr>
        <w:footnoteReference w:id="20"/>
      </w:r>
      <w:r w:rsidRPr="004557F3">
        <w:rPr>
          <w:rFonts w:ascii="Garamond" w:hAnsi="Garamond"/>
          <w:sz w:val="30"/>
          <w:szCs w:val="30"/>
        </w:rPr>
        <w:t>. This form of asylum according to Starke</w:t>
      </w:r>
      <w:r w:rsidRPr="004557F3">
        <w:rPr>
          <w:rFonts w:ascii="Garamond" w:hAnsi="Garamond"/>
          <w:sz w:val="30"/>
          <w:szCs w:val="30"/>
          <w:vertAlign w:val="superscript"/>
        </w:rPr>
        <w:footnoteReference w:id="21"/>
      </w:r>
      <w:r w:rsidRPr="004557F3">
        <w:rPr>
          <w:rFonts w:ascii="Garamond" w:hAnsi="Garamond"/>
          <w:sz w:val="30"/>
          <w:szCs w:val="30"/>
        </w:rPr>
        <w:t xml:space="preserve"> is a territorial asylum where the asylum country has full power in applying its country's sovereignty as an implication for the granting of asylum within its jurisdiction.</w:t>
      </w:r>
      <w:r w:rsidRPr="004557F3">
        <w:rPr>
          <w:rFonts w:ascii="Garamond" w:hAnsi="Garamond"/>
          <w:sz w:val="30"/>
          <w:szCs w:val="30"/>
        </w:rPr>
        <w:br/>
      </w:r>
    </w:p>
    <w:p w14:paraId="6CD4732D" w14:textId="5A0CE9F0" w:rsidR="004557F3" w:rsidRPr="004557F3" w:rsidRDefault="004557F3" w:rsidP="004557F3">
      <w:pPr>
        <w:spacing w:before="120" w:after="120" w:line="276" w:lineRule="auto"/>
        <w:ind w:left="1" w:hanging="3"/>
        <w:jc w:val="both"/>
        <w:rPr>
          <w:rFonts w:ascii="Garamond" w:hAnsi="Garamond"/>
          <w:sz w:val="30"/>
          <w:szCs w:val="30"/>
        </w:rPr>
      </w:pPr>
      <w:r w:rsidRPr="004557F3">
        <w:rPr>
          <w:rFonts w:ascii="Garamond" w:hAnsi="Garamond"/>
          <w:sz w:val="30"/>
          <w:szCs w:val="30"/>
        </w:rPr>
        <w:lastRenderedPageBreak/>
        <w:t>International refugees as asylum seekers seek refuge or safe place outside territorial sovereignty of the country of origin of asylum seekers by way of applying for asylum aimed at other parties or countries. Submission of requests from asylum seekers addressed to such other party or country implies that the home country of asylum seekers is unwilling or incapable to provide protection to asylum seekers, so asylum seekers do not choose to seek refuge in their home country and prefer to seek protection to other parties or countries. The main cause of asylum-seekers to seek asylum is because there are things and reasons for a strong fear of a form of persecution, so the reason for the fear can be taken into consideration for the asylum-feeding country in the granting of asylum. According to Hamid</w:t>
      </w:r>
      <w:r w:rsidRPr="004557F3">
        <w:rPr>
          <w:rFonts w:ascii="Garamond" w:hAnsi="Garamond"/>
          <w:sz w:val="30"/>
          <w:szCs w:val="30"/>
          <w:vertAlign w:val="superscript"/>
        </w:rPr>
        <w:footnoteReference w:id="22"/>
      </w:r>
      <w:r w:rsidRPr="004557F3">
        <w:rPr>
          <w:rFonts w:ascii="Garamond" w:hAnsi="Garamond"/>
          <w:sz w:val="30"/>
          <w:szCs w:val="30"/>
        </w:rPr>
        <w:t>, there are reasons to be considered in determining the granting of protection by the state to asylum seekers as set forth in binding international law and customs, namely "the reasons for humanity, religion, racial discrimination, politics, ".</w:t>
      </w:r>
    </w:p>
    <w:p w14:paraId="7465EFF0" w14:textId="7AEC65DE" w:rsidR="004557F3" w:rsidRPr="004557F3" w:rsidRDefault="004557F3" w:rsidP="004557F3">
      <w:pPr>
        <w:spacing w:before="120" w:after="120" w:line="276" w:lineRule="auto"/>
        <w:ind w:left="1" w:hanging="3"/>
        <w:jc w:val="both"/>
        <w:rPr>
          <w:rFonts w:ascii="Garamond" w:hAnsi="Garamond"/>
          <w:sz w:val="30"/>
          <w:szCs w:val="30"/>
        </w:rPr>
      </w:pPr>
      <w:r w:rsidRPr="004557F3">
        <w:rPr>
          <w:rFonts w:ascii="Garamond" w:hAnsi="Garamond"/>
          <w:sz w:val="30"/>
          <w:szCs w:val="30"/>
        </w:rPr>
        <w:t xml:space="preserve">According to </w:t>
      </w:r>
      <w:proofErr w:type="spellStart"/>
      <w:r w:rsidRPr="004557F3">
        <w:rPr>
          <w:rFonts w:ascii="Garamond" w:hAnsi="Garamond"/>
          <w:sz w:val="30"/>
          <w:szCs w:val="30"/>
        </w:rPr>
        <w:t>Prihandono</w:t>
      </w:r>
      <w:proofErr w:type="spellEnd"/>
      <w:r w:rsidRPr="004557F3">
        <w:rPr>
          <w:rFonts w:ascii="Garamond" w:hAnsi="Garamond"/>
          <w:sz w:val="30"/>
          <w:szCs w:val="30"/>
        </w:rPr>
        <w:t xml:space="preserve"> (2006), it is the right of a country to determine the acceptance or non-acceptance of such asylum applications. The granting of asylum is the absolute authority of a state, the state-granting asylum shall have the absolute authority to evaluate or judge for itself the grounds upon which the asylum is granted, without having to disclose or disclose the reason to any party, including to origin country of asylum seekers</w:t>
      </w:r>
      <w:r w:rsidRPr="004557F3">
        <w:rPr>
          <w:rFonts w:ascii="Garamond" w:hAnsi="Garamond"/>
          <w:sz w:val="30"/>
          <w:szCs w:val="30"/>
          <w:vertAlign w:val="superscript"/>
        </w:rPr>
        <w:footnoteReference w:id="23"/>
      </w:r>
      <w:r w:rsidRPr="004557F3">
        <w:rPr>
          <w:rFonts w:ascii="Garamond" w:hAnsi="Garamond"/>
          <w:sz w:val="30"/>
          <w:szCs w:val="30"/>
        </w:rPr>
        <w:t>. This is also in line with the opinion of Crock</w:t>
      </w:r>
      <w:r w:rsidRPr="004557F3">
        <w:rPr>
          <w:rFonts w:ascii="Garamond" w:hAnsi="Garamond"/>
          <w:sz w:val="30"/>
          <w:szCs w:val="30"/>
          <w:vertAlign w:val="superscript"/>
        </w:rPr>
        <w:footnoteReference w:id="24"/>
      </w:r>
      <w:r w:rsidRPr="004557F3">
        <w:rPr>
          <w:rFonts w:ascii="Garamond" w:hAnsi="Garamond"/>
          <w:sz w:val="30"/>
          <w:szCs w:val="30"/>
        </w:rPr>
        <w:t xml:space="preserve"> which states that the state will bear the joint responsibility for the fate of the asylum-seekers as a matter of international law (the state will bear the joint responsibility of the fate of asylum seekers as prescribed in law international). </w:t>
      </w:r>
      <w:proofErr w:type="spellStart"/>
      <w:r w:rsidRPr="004557F3">
        <w:rPr>
          <w:rFonts w:ascii="Garamond" w:hAnsi="Garamond"/>
          <w:sz w:val="30"/>
          <w:szCs w:val="30"/>
        </w:rPr>
        <w:t>Moussalli</w:t>
      </w:r>
      <w:proofErr w:type="spellEnd"/>
      <w:r w:rsidRPr="004557F3">
        <w:rPr>
          <w:rFonts w:ascii="Garamond" w:hAnsi="Garamond"/>
          <w:sz w:val="30"/>
          <w:szCs w:val="30"/>
          <w:vertAlign w:val="superscript"/>
        </w:rPr>
        <w:footnoteReference w:id="25"/>
      </w:r>
      <w:r w:rsidRPr="004557F3">
        <w:rPr>
          <w:rFonts w:ascii="Garamond" w:hAnsi="Garamond"/>
          <w:sz w:val="30"/>
          <w:szCs w:val="30"/>
        </w:rPr>
        <w:t xml:space="preserve"> also argues that when large asylum-seekers come in, the state will at least provide temporary protection.</w:t>
      </w:r>
    </w:p>
    <w:p w14:paraId="05B2BEA1" w14:textId="3C77726E" w:rsidR="004557F3" w:rsidRDefault="004557F3" w:rsidP="004557F3">
      <w:pPr>
        <w:spacing w:before="120" w:after="120" w:line="276" w:lineRule="auto"/>
        <w:ind w:left="1" w:hanging="3"/>
        <w:jc w:val="both"/>
        <w:rPr>
          <w:rFonts w:ascii="Garamond" w:hAnsi="Garamond"/>
          <w:sz w:val="30"/>
          <w:szCs w:val="30"/>
        </w:rPr>
      </w:pPr>
      <w:r w:rsidRPr="004557F3">
        <w:rPr>
          <w:rFonts w:ascii="Garamond" w:hAnsi="Garamond"/>
          <w:sz w:val="30"/>
          <w:szCs w:val="30"/>
        </w:rPr>
        <w:t xml:space="preserve">The granting of asylum status to refugees does not necessarily mean that an asylum country interferes with the sovereignty of another country (especially the country of origin of asylum seekers / refugees internationally) but the granting of asylum can be categorized as an act that prioritizes the principle of peace and humanity. This is clearly stated in the Declaration on Territorial Asylum that " be </w:t>
      </w:r>
      <w:r w:rsidRPr="004557F3">
        <w:rPr>
          <w:rFonts w:ascii="Garamond" w:hAnsi="Garamond"/>
          <w:sz w:val="30"/>
          <w:szCs w:val="30"/>
        </w:rPr>
        <w:lastRenderedPageBreak/>
        <w:t>declared as unfriendly by any other state "</w:t>
      </w:r>
      <w:r w:rsidRPr="004557F3">
        <w:rPr>
          <w:rFonts w:ascii="Garamond" w:hAnsi="Garamond"/>
          <w:sz w:val="30"/>
          <w:szCs w:val="30"/>
          <w:vertAlign w:val="superscript"/>
        </w:rPr>
        <w:footnoteReference w:id="26"/>
      </w:r>
      <w:r w:rsidRPr="004557F3">
        <w:rPr>
          <w:rFonts w:ascii="Garamond" w:hAnsi="Garamond"/>
          <w:sz w:val="30"/>
          <w:szCs w:val="30"/>
        </w:rPr>
        <w:t>. The decision to grant asylum by a country shall be respected by other countries including the refugee's home country asylum, as the act of granting asylum is part of the sovereignty of the country and constitutes a manifestation of the upholding of the objectives and principles of peace and humanity as regulated in the UN Charter, international law and custom.</w:t>
      </w:r>
    </w:p>
    <w:p w14:paraId="0B72BDCF" w14:textId="210A1FA2" w:rsidR="004557F3" w:rsidRDefault="004557F3" w:rsidP="004557F3">
      <w:pPr>
        <w:spacing w:before="120" w:after="120" w:line="276" w:lineRule="auto"/>
        <w:ind w:leftChars="0" w:left="1" w:firstLineChars="0" w:firstLine="0"/>
        <w:jc w:val="center"/>
        <w:rPr>
          <w:rFonts w:ascii="Adobe Caslon Pro" w:hAnsi="Adobe Caslon Pro"/>
          <w:color w:val="3C4B92"/>
          <w:sz w:val="30"/>
          <w:szCs w:val="30"/>
        </w:rPr>
      </w:pPr>
      <w:r>
        <w:rPr>
          <w:rFonts w:ascii="Adobe Caslon Pro" w:hAnsi="Adobe Caslon Pro"/>
          <w:color w:val="3C4B92"/>
          <w:sz w:val="30"/>
          <w:szCs w:val="30"/>
        </w:rPr>
        <w:t>3</w:t>
      </w:r>
      <w:r w:rsidRPr="009B6FAA">
        <w:rPr>
          <w:rFonts w:ascii="Adobe Caslon Pro" w:hAnsi="Adobe Caslon Pro"/>
          <w:color w:val="3C4B92"/>
          <w:sz w:val="30"/>
          <w:szCs w:val="30"/>
        </w:rPr>
        <w:t>. T</w:t>
      </w:r>
      <w:r w:rsidRPr="00120943">
        <w:rPr>
          <w:rFonts w:ascii="Adobe Caslon Pro" w:hAnsi="Adobe Caslon Pro"/>
          <w:color w:val="3C4B92"/>
          <w:sz w:val="30"/>
          <w:szCs w:val="30"/>
        </w:rPr>
        <w:t>he righ</w:t>
      </w:r>
      <w:r>
        <w:rPr>
          <w:rFonts w:ascii="Adobe Caslon Pro" w:hAnsi="Adobe Caslon Pro"/>
          <w:color w:val="3C4B92"/>
          <w:sz w:val="30"/>
          <w:szCs w:val="30"/>
        </w:rPr>
        <w:t xml:space="preserve">t </w:t>
      </w:r>
      <w:r w:rsidRPr="004557F3">
        <w:rPr>
          <w:rFonts w:ascii="Adobe Caslon Pro" w:hAnsi="Adobe Caslon Pro"/>
          <w:color w:val="3C4B92"/>
          <w:sz w:val="30"/>
          <w:szCs w:val="30"/>
        </w:rPr>
        <w:t>to equality and non-discrimination</w:t>
      </w:r>
    </w:p>
    <w:p w14:paraId="2F994477" w14:textId="22015B2A" w:rsidR="004557F3" w:rsidRPr="004557F3" w:rsidRDefault="004557F3" w:rsidP="004557F3">
      <w:pPr>
        <w:spacing w:before="120" w:after="120" w:line="276" w:lineRule="auto"/>
        <w:ind w:leftChars="0" w:firstLineChars="0" w:firstLine="0"/>
        <w:jc w:val="both"/>
        <w:rPr>
          <w:rFonts w:ascii="Garamond" w:hAnsi="Garamond"/>
          <w:sz w:val="30"/>
          <w:szCs w:val="30"/>
        </w:rPr>
      </w:pPr>
      <w:r w:rsidRPr="004557F3">
        <w:rPr>
          <w:rFonts w:ascii="Garamond" w:hAnsi="Garamond"/>
          <w:sz w:val="30"/>
          <w:szCs w:val="30"/>
        </w:rPr>
        <w:t xml:space="preserve">International refugees have the right to equality and are free from discrimination wherever they are. This principle is very important for every country to </w:t>
      </w:r>
      <w:proofErr w:type="gramStart"/>
      <w:r w:rsidRPr="004557F3">
        <w:rPr>
          <w:rFonts w:ascii="Garamond" w:hAnsi="Garamond"/>
          <w:sz w:val="30"/>
          <w:szCs w:val="30"/>
        </w:rPr>
        <w:t>take into account</w:t>
      </w:r>
      <w:proofErr w:type="gramEnd"/>
      <w:r w:rsidRPr="004557F3">
        <w:rPr>
          <w:rFonts w:ascii="Garamond" w:hAnsi="Garamond"/>
          <w:sz w:val="30"/>
          <w:szCs w:val="30"/>
        </w:rPr>
        <w:t xml:space="preserve"> the fact that there are discriminatory treatments to international refugees because of ethnic / religious, gender, and other factors. Discrimination also often occurs because international refugees are largely denied citizenship documents because they are forced to abandon their possessions so that border officials treat them discriminatively with excessive suspicion.</w:t>
      </w:r>
    </w:p>
    <w:p w14:paraId="4238A390" w14:textId="29131AEC" w:rsidR="004557F3" w:rsidRPr="004557F3" w:rsidRDefault="004557F3" w:rsidP="004557F3">
      <w:pPr>
        <w:spacing w:before="120" w:after="120" w:line="276" w:lineRule="auto"/>
        <w:ind w:leftChars="0" w:left="1" w:firstLineChars="0" w:firstLine="0"/>
        <w:jc w:val="both"/>
        <w:rPr>
          <w:rFonts w:ascii="Garamond" w:hAnsi="Garamond"/>
          <w:sz w:val="30"/>
          <w:szCs w:val="30"/>
        </w:rPr>
      </w:pPr>
      <w:r w:rsidRPr="004557F3">
        <w:rPr>
          <w:rFonts w:ascii="Garamond" w:hAnsi="Garamond"/>
          <w:sz w:val="30"/>
          <w:szCs w:val="30"/>
        </w:rPr>
        <w:t xml:space="preserve">This equality rights </w:t>
      </w:r>
      <w:proofErr w:type="gramStart"/>
      <w:r w:rsidRPr="004557F3">
        <w:rPr>
          <w:rFonts w:ascii="Garamond" w:hAnsi="Garamond"/>
          <w:sz w:val="30"/>
          <w:szCs w:val="30"/>
        </w:rPr>
        <w:t>is</w:t>
      </w:r>
      <w:proofErr w:type="gramEnd"/>
      <w:r w:rsidRPr="004557F3">
        <w:rPr>
          <w:rFonts w:ascii="Garamond" w:hAnsi="Garamond"/>
          <w:sz w:val="30"/>
          <w:szCs w:val="30"/>
        </w:rPr>
        <w:t xml:space="preserve"> a fundamental right of human rights and puts all people free and has equal rights in human rights</w:t>
      </w:r>
      <w:r w:rsidRPr="004557F3">
        <w:rPr>
          <w:rFonts w:ascii="Garamond" w:hAnsi="Garamond"/>
          <w:sz w:val="30"/>
          <w:szCs w:val="30"/>
          <w:vertAlign w:val="superscript"/>
        </w:rPr>
        <w:footnoteReference w:id="27"/>
      </w:r>
      <w:r w:rsidRPr="004557F3">
        <w:rPr>
          <w:rFonts w:ascii="Garamond" w:hAnsi="Garamond"/>
          <w:sz w:val="30"/>
          <w:szCs w:val="30"/>
        </w:rPr>
        <w:t>. Equity requires equal treatment, in which the same situation must be treated equally, and by debate, in which different situations are treated differently.</w:t>
      </w:r>
    </w:p>
    <w:p w14:paraId="7BDD7BAF" w14:textId="5CFCA035" w:rsidR="004557F3" w:rsidRPr="004557F3" w:rsidRDefault="004557F3" w:rsidP="004557F3">
      <w:pPr>
        <w:spacing w:before="120" w:after="120" w:line="276" w:lineRule="auto"/>
        <w:ind w:leftChars="0" w:left="1" w:firstLineChars="0" w:firstLine="0"/>
        <w:jc w:val="both"/>
        <w:rPr>
          <w:rFonts w:ascii="Garamond" w:hAnsi="Garamond"/>
          <w:sz w:val="30"/>
          <w:szCs w:val="30"/>
        </w:rPr>
      </w:pPr>
      <w:r w:rsidRPr="004557F3">
        <w:rPr>
          <w:rFonts w:ascii="Garamond" w:hAnsi="Garamond"/>
          <w:sz w:val="30"/>
          <w:szCs w:val="30"/>
        </w:rPr>
        <w:t xml:space="preserve">The principle of non-discrimination has the same concept with equal rights. The principle of non-discrimination covers the view that people </w:t>
      </w:r>
      <w:proofErr w:type="spellStart"/>
      <w:r w:rsidRPr="004557F3">
        <w:rPr>
          <w:rFonts w:ascii="Garamond" w:hAnsi="Garamond"/>
          <w:sz w:val="30"/>
          <w:szCs w:val="30"/>
        </w:rPr>
        <w:t>can not</w:t>
      </w:r>
      <w:proofErr w:type="spellEnd"/>
      <w:r w:rsidRPr="004557F3">
        <w:rPr>
          <w:rFonts w:ascii="Garamond" w:hAnsi="Garamond"/>
          <w:sz w:val="30"/>
          <w:szCs w:val="30"/>
        </w:rPr>
        <w:t xml:space="preserve"> be treated differently </w:t>
      </w:r>
      <w:proofErr w:type="gramStart"/>
      <w:r w:rsidRPr="004557F3">
        <w:rPr>
          <w:rFonts w:ascii="Garamond" w:hAnsi="Garamond"/>
          <w:sz w:val="30"/>
          <w:szCs w:val="30"/>
        </w:rPr>
        <w:t>on the basis of</w:t>
      </w:r>
      <w:proofErr w:type="gramEnd"/>
      <w:r w:rsidRPr="004557F3">
        <w:rPr>
          <w:rFonts w:ascii="Garamond" w:hAnsi="Garamond"/>
          <w:sz w:val="30"/>
          <w:szCs w:val="30"/>
        </w:rPr>
        <w:t xml:space="preserve"> additional and unauthorized criteria. Discrimination based on race, color, skin, ethnicity, gender, age, language, disability, religion, </w:t>
      </w:r>
      <w:proofErr w:type="gramStart"/>
      <w:r w:rsidRPr="004557F3">
        <w:rPr>
          <w:rFonts w:ascii="Garamond" w:hAnsi="Garamond"/>
          <w:sz w:val="30"/>
          <w:szCs w:val="30"/>
        </w:rPr>
        <w:t>politics</w:t>
      </w:r>
      <w:proofErr w:type="gramEnd"/>
      <w:r w:rsidRPr="004557F3">
        <w:rPr>
          <w:rFonts w:ascii="Garamond" w:hAnsi="Garamond"/>
          <w:sz w:val="30"/>
          <w:szCs w:val="30"/>
        </w:rPr>
        <w:t xml:space="preserve"> or other opinion, societal or geographical origin, possession, birth or other status established by international human rights standards a violation of human rights.</w:t>
      </w:r>
    </w:p>
    <w:p w14:paraId="7ADEF343" w14:textId="629AEE3D" w:rsidR="004557F3" w:rsidRDefault="004557F3" w:rsidP="004557F3">
      <w:pPr>
        <w:spacing w:before="120" w:after="120" w:line="276" w:lineRule="auto"/>
        <w:ind w:leftChars="0" w:left="1" w:firstLineChars="0" w:firstLine="0"/>
        <w:jc w:val="both"/>
        <w:rPr>
          <w:rFonts w:ascii="Garamond" w:hAnsi="Garamond"/>
          <w:sz w:val="30"/>
          <w:szCs w:val="30"/>
        </w:rPr>
      </w:pPr>
      <w:r w:rsidRPr="004557F3">
        <w:rPr>
          <w:rFonts w:ascii="Garamond" w:hAnsi="Garamond"/>
          <w:sz w:val="30"/>
          <w:szCs w:val="30"/>
        </w:rPr>
        <w:t xml:space="preserve">This principle of non-discrimination has been regulated and adopted in many multilateral agreements, especially in the International Covenant on Civil and Political Rights (ICCPR) and the International Covenant on Social, Economic and Cultural Rights (ICESCR). Article 2 Paragraph (1) of the ICCPR states that: "Each State Party to the present Covenant undertakes to respect and to guarantee </w:t>
      </w:r>
      <w:r w:rsidRPr="004557F3">
        <w:rPr>
          <w:rFonts w:ascii="Garamond" w:hAnsi="Garamond"/>
          <w:sz w:val="30"/>
          <w:szCs w:val="30"/>
        </w:rPr>
        <w:lastRenderedPageBreak/>
        <w:t xml:space="preserve">the rights recognized in the present Covenant to all persons within its territory and subject to its jurisdiction, without distinction of any kind as to race, color, sex, language, religion, politics or other opinion, national or social origin, property, birth or other social status. "While the principle of equality is guaranteed in Article 3 of the ICCPR which states that the States Parties to the present Covenant undertake to guarantee equal rights of men and women to enjoy all the civil and political rights set forth in the present Covenant. </w:t>
      </w:r>
      <w:proofErr w:type="gramStart"/>
      <w:r w:rsidRPr="004557F3">
        <w:rPr>
          <w:rFonts w:ascii="Garamond" w:hAnsi="Garamond"/>
          <w:sz w:val="30"/>
          <w:szCs w:val="30"/>
        </w:rPr>
        <w:t>It is clear that every</w:t>
      </w:r>
      <w:proofErr w:type="gramEnd"/>
      <w:r w:rsidRPr="004557F3">
        <w:rPr>
          <w:rFonts w:ascii="Garamond" w:hAnsi="Garamond"/>
          <w:sz w:val="30"/>
          <w:szCs w:val="30"/>
        </w:rPr>
        <w:t xml:space="preserve"> country is prohibited from discriminating against international refugees under any circumstances.</w:t>
      </w:r>
    </w:p>
    <w:p w14:paraId="33E72FEA" w14:textId="7FED6B6A" w:rsidR="004557F3" w:rsidRDefault="004557F3" w:rsidP="004557F3">
      <w:pPr>
        <w:spacing w:before="120" w:after="120" w:line="276" w:lineRule="auto"/>
        <w:ind w:leftChars="0" w:left="1" w:firstLineChars="0" w:firstLine="0"/>
        <w:jc w:val="center"/>
        <w:rPr>
          <w:rFonts w:ascii="Adobe Caslon Pro" w:hAnsi="Adobe Caslon Pro"/>
          <w:color w:val="3C4B92"/>
          <w:sz w:val="30"/>
          <w:szCs w:val="30"/>
        </w:rPr>
      </w:pPr>
      <w:r>
        <w:rPr>
          <w:rFonts w:ascii="Adobe Caslon Pro" w:hAnsi="Adobe Caslon Pro"/>
          <w:color w:val="3C4B92"/>
          <w:sz w:val="30"/>
          <w:szCs w:val="30"/>
        </w:rPr>
        <w:t>4</w:t>
      </w:r>
      <w:r w:rsidRPr="009B6FAA">
        <w:rPr>
          <w:rFonts w:ascii="Adobe Caslon Pro" w:hAnsi="Adobe Caslon Pro"/>
          <w:color w:val="3C4B92"/>
          <w:sz w:val="30"/>
          <w:szCs w:val="30"/>
        </w:rPr>
        <w:t>. T</w:t>
      </w:r>
      <w:r w:rsidRPr="00120943">
        <w:rPr>
          <w:rFonts w:ascii="Adobe Caslon Pro" w:hAnsi="Adobe Caslon Pro"/>
          <w:color w:val="3C4B92"/>
          <w:sz w:val="30"/>
          <w:szCs w:val="30"/>
        </w:rPr>
        <w:t>he righ</w:t>
      </w:r>
      <w:r>
        <w:rPr>
          <w:rFonts w:ascii="Adobe Caslon Pro" w:hAnsi="Adobe Caslon Pro"/>
          <w:color w:val="3C4B92"/>
          <w:sz w:val="30"/>
          <w:szCs w:val="30"/>
        </w:rPr>
        <w:t xml:space="preserve">t </w:t>
      </w:r>
      <w:r w:rsidRPr="004557F3">
        <w:rPr>
          <w:rFonts w:ascii="Adobe Caslon Pro" w:hAnsi="Adobe Caslon Pro"/>
          <w:color w:val="3C4B92"/>
          <w:sz w:val="30"/>
          <w:szCs w:val="30"/>
        </w:rPr>
        <w:t>to life, liberty, and security</w:t>
      </w:r>
    </w:p>
    <w:p w14:paraId="63868717" w14:textId="48BB0161" w:rsidR="00707495" w:rsidRPr="00707495" w:rsidRDefault="00707495" w:rsidP="00707495">
      <w:pPr>
        <w:spacing w:before="120" w:after="120" w:line="276" w:lineRule="auto"/>
        <w:ind w:leftChars="0" w:firstLineChars="0" w:firstLine="0"/>
        <w:jc w:val="both"/>
        <w:rPr>
          <w:rFonts w:ascii="Garamond" w:hAnsi="Garamond"/>
          <w:sz w:val="30"/>
          <w:szCs w:val="30"/>
        </w:rPr>
      </w:pPr>
      <w:r w:rsidRPr="00707495">
        <w:rPr>
          <w:rFonts w:ascii="Garamond" w:hAnsi="Garamond"/>
          <w:sz w:val="30"/>
          <w:szCs w:val="30"/>
        </w:rPr>
        <w:t>International refugees are a group of people who are in a state that is threatened both the soul and the property. Their dignity and rights are also threatened when they travel out of their home country and include when they are in tents / shelters. In certain circumstances they often lose their property, security, family, and even their souls. International refugees feel that life in refugee camps is much worse and more dangerous than living in their own country.</w:t>
      </w:r>
    </w:p>
    <w:p w14:paraId="0F64135C" w14:textId="4930B2E4" w:rsidR="00707495" w:rsidRPr="00707495" w:rsidRDefault="00707495" w:rsidP="00707495">
      <w:pPr>
        <w:spacing w:before="120" w:after="120" w:line="276" w:lineRule="auto"/>
        <w:ind w:leftChars="0" w:left="1" w:firstLineChars="0" w:firstLine="0"/>
        <w:jc w:val="both"/>
        <w:rPr>
          <w:rFonts w:ascii="Garamond" w:hAnsi="Garamond"/>
          <w:sz w:val="30"/>
          <w:szCs w:val="30"/>
        </w:rPr>
      </w:pPr>
      <w:r w:rsidRPr="00707495">
        <w:rPr>
          <w:rFonts w:ascii="Garamond" w:hAnsi="Garamond"/>
          <w:sz w:val="30"/>
          <w:szCs w:val="30"/>
        </w:rPr>
        <w:t>The right to life is a non-</w:t>
      </w:r>
      <w:proofErr w:type="spellStart"/>
      <w:r w:rsidRPr="00707495">
        <w:rPr>
          <w:rFonts w:ascii="Garamond" w:hAnsi="Garamond"/>
          <w:sz w:val="30"/>
          <w:szCs w:val="30"/>
        </w:rPr>
        <w:t>derogable</w:t>
      </w:r>
      <w:proofErr w:type="spellEnd"/>
      <w:r w:rsidRPr="00707495">
        <w:rPr>
          <w:rFonts w:ascii="Garamond" w:hAnsi="Garamond"/>
          <w:sz w:val="30"/>
          <w:szCs w:val="30"/>
        </w:rPr>
        <w:t xml:space="preserve"> right. For this reason, the right to life is also adopted by many multilateral agreements, especially on human rights. Article 3 of the Universal Declaration of Human Rights stipulates that everyone has the right to life, </w:t>
      </w:r>
      <w:proofErr w:type="gramStart"/>
      <w:r w:rsidRPr="00707495">
        <w:rPr>
          <w:rFonts w:ascii="Garamond" w:hAnsi="Garamond"/>
          <w:sz w:val="30"/>
          <w:szCs w:val="30"/>
        </w:rPr>
        <w:t>liberty</w:t>
      </w:r>
      <w:proofErr w:type="gramEnd"/>
      <w:r w:rsidRPr="00707495">
        <w:rPr>
          <w:rFonts w:ascii="Garamond" w:hAnsi="Garamond"/>
          <w:sz w:val="30"/>
          <w:szCs w:val="30"/>
        </w:rPr>
        <w:t xml:space="preserve"> and salvation. Article 6 of the ICCPR states that "every human being has an inherent right to life. This right must be protected by law. No human being is rashly subject to the right of life. "Article 6 of the Convention on the Rights of the Child stipulates that" States Parties to the Convention recognize that each child has the inherent right to his or her life. So that every child on earth can declare that "I must live and thrive as a man." </w:t>
      </w:r>
    </w:p>
    <w:p w14:paraId="06436691" w14:textId="080DC72E" w:rsidR="00707495" w:rsidRPr="00707495" w:rsidRDefault="00707495" w:rsidP="00707495">
      <w:pPr>
        <w:spacing w:before="120" w:after="120" w:line="276" w:lineRule="auto"/>
        <w:ind w:leftChars="0" w:left="1" w:firstLineChars="0" w:firstLine="0"/>
        <w:jc w:val="both"/>
        <w:rPr>
          <w:rFonts w:ascii="Garamond" w:hAnsi="Garamond"/>
          <w:sz w:val="30"/>
          <w:szCs w:val="30"/>
        </w:rPr>
      </w:pPr>
      <w:r w:rsidRPr="00707495">
        <w:rPr>
          <w:rFonts w:ascii="Garamond" w:hAnsi="Garamond"/>
          <w:sz w:val="30"/>
          <w:szCs w:val="30"/>
        </w:rPr>
        <w:t xml:space="preserve">Despite its non </w:t>
      </w:r>
      <w:proofErr w:type="spellStart"/>
      <w:r w:rsidRPr="00707495">
        <w:rPr>
          <w:rFonts w:ascii="Garamond" w:hAnsi="Garamond"/>
          <w:sz w:val="30"/>
          <w:szCs w:val="30"/>
        </w:rPr>
        <w:t>derogable</w:t>
      </w:r>
      <w:proofErr w:type="spellEnd"/>
      <w:r w:rsidRPr="00707495">
        <w:rPr>
          <w:rFonts w:ascii="Garamond" w:hAnsi="Garamond"/>
          <w:sz w:val="30"/>
          <w:szCs w:val="30"/>
        </w:rPr>
        <w:t xml:space="preserve"> rights, the right to life can be reduced but with certain limitations. Article 4 Paragraph (1) of the ICCPR states that States Parties to the Convention may delay or diminish the enjoyment of the rights enshrined in the Convention. The circumstances referred to in Article 4 paragraph (1) shall be "when the State is in an emergency, which circumstances shall be reported by the State intending to postpone it to all States Parties to the Convention through the Secretary-General of the United Nations." Subsequently in Article 4 paragraph (2) The ICCPR then determines that "even in an emergency, even if a country is </w:t>
      </w:r>
      <w:r w:rsidRPr="00707495">
        <w:rPr>
          <w:rFonts w:ascii="Garamond" w:hAnsi="Garamond"/>
          <w:sz w:val="30"/>
          <w:szCs w:val="30"/>
        </w:rPr>
        <w:lastRenderedPageBreak/>
        <w:t>in an emergency, it is not permissible to postpone or degrade certain rights." The meaning of these rights includes: the right to life, the right to be free from acts of torture, the right not to be cruel and degrading of human dignity, the right not to be enslaved, the right not to be imprisoned simply because of the inability to fulfil the contract, the right not to be penalized under retroactive law, the right to equality before the law, embracing faith and religion.</w:t>
      </w:r>
    </w:p>
    <w:p w14:paraId="5B948528" w14:textId="139EF459" w:rsidR="00707495" w:rsidRPr="00707495" w:rsidRDefault="00707495" w:rsidP="00707495">
      <w:pPr>
        <w:spacing w:before="120" w:after="120" w:line="276" w:lineRule="auto"/>
        <w:ind w:leftChars="0" w:left="1" w:firstLineChars="0" w:firstLine="0"/>
        <w:jc w:val="both"/>
        <w:rPr>
          <w:rFonts w:ascii="Garamond" w:hAnsi="Garamond"/>
          <w:sz w:val="30"/>
          <w:szCs w:val="30"/>
        </w:rPr>
      </w:pPr>
      <w:r w:rsidRPr="00707495">
        <w:rPr>
          <w:rFonts w:ascii="Garamond" w:hAnsi="Garamond"/>
          <w:sz w:val="30"/>
          <w:szCs w:val="30"/>
        </w:rPr>
        <w:t>For that reason, an emergency that could be justified to undermine the right to life is described again in the General Comment. Article 4 of the ICCPR that there are two conditions to be met, namely: "the situation must amount to a public emergency which threatens the life of the nation, and the State party must have proclaimed a state of emergency" an emergency that threatens the life of the nation, and the participating countries of the ICCPR must declare officially the state of emergency in question).</w:t>
      </w:r>
    </w:p>
    <w:p w14:paraId="6BC52E63" w14:textId="106E1B62" w:rsidR="00707495" w:rsidRDefault="00707495" w:rsidP="00707495">
      <w:pPr>
        <w:spacing w:before="120" w:after="120" w:line="276" w:lineRule="auto"/>
        <w:ind w:leftChars="0" w:left="1" w:firstLineChars="0" w:firstLine="0"/>
        <w:jc w:val="both"/>
        <w:rPr>
          <w:rFonts w:ascii="Garamond" w:hAnsi="Garamond"/>
          <w:sz w:val="30"/>
          <w:szCs w:val="30"/>
        </w:rPr>
      </w:pPr>
      <w:proofErr w:type="spellStart"/>
      <w:r w:rsidRPr="00707495">
        <w:rPr>
          <w:rFonts w:ascii="Garamond" w:hAnsi="Garamond"/>
          <w:sz w:val="30"/>
          <w:szCs w:val="30"/>
        </w:rPr>
        <w:t>Loescher</w:t>
      </w:r>
      <w:proofErr w:type="spellEnd"/>
      <w:r w:rsidRPr="00707495">
        <w:rPr>
          <w:rFonts w:ascii="Garamond" w:hAnsi="Garamond"/>
          <w:sz w:val="30"/>
          <w:szCs w:val="30"/>
          <w:vertAlign w:val="superscript"/>
        </w:rPr>
        <w:footnoteReference w:id="28"/>
      </w:r>
      <w:r w:rsidRPr="00707495">
        <w:rPr>
          <w:rFonts w:ascii="Garamond" w:hAnsi="Garamond"/>
          <w:sz w:val="30"/>
          <w:szCs w:val="30"/>
        </w:rPr>
        <w:t xml:space="preserve"> argues that many refugees live in makeshift shelters or slums located near the borders of their home country. They lose the opportunity to work and live dependent on international charities to survive. Refugees are often separated from their family members, who are exposed to the danger of armed attacks, are subjected to many forms of exploitation and degradation, and are haunted by the constant fear of expulsion and forced return to their home country. </w:t>
      </w:r>
      <w:proofErr w:type="gramStart"/>
      <w:r w:rsidRPr="00707495">
        <w:rPr>
          <w:rFonts w:ascii="Garamond" w:hAnsi="Garamond"/>
          <w:sz w:val="30"/>
          <w:szCs w:val="30"/>
        </w:rPr>
        <w:t>A large number of</w:t>
      </w:r>
      <w:proofErr w:type="gramEnd"/>
      <w:r w:rsidRPr="00707495">
        <w:rPr>
          <w:rFonts w:ascii="Garamond" w:hAnsi="Garamond"/>
          <w:sz w:val="30"/>
          <w:szCs w:val="30"/>
        </w:rPr>
        <w:t xml:space="preserve"> children have spent their entire lives in refugee camps. The longer they stay there, the less chance they </w:t>
      </w:r>
      <w:proofErr w:type="gramStart"/>
      <w:r w:rsidRPr="00707495">
        <w:rPr>
          <w:rFonts w:ascii="Garamond" w:hAnsi="Garamond"/>
          <w:sz w:val="30"/>
          <w:szCs w:val="30"/>
        </w:rPr>
        <w:t>have to</w:t>
      </w:r>
      <w:proofErr w:type="gramEnd"/>
      <w:r w:rsidRPr="00707495">
        <w:rPr>
          <w:rFonts w:ascii="Garamond" w:hAnsi="Garamond"/>
          <w:sz w:val="30"/>
          <w:szCs w:val="30"/>
        </w:rPr>
        <w:t xml:space="preserve"> experience some semblance of normal life.</w:t>
      </w:r>
    </w:p>
    <w:p w14:paraId="59B81F34" w14:textId="32BB6B6C" w:rsidR="00707495" w:rsidRDefault="00707495" w:rsidP="00707495">
      <w:pPr>
        <w:spacing w:before="120" w:after="120" w:line="276" w:lineRule="auto"/>
        <w:ind w:leftChars="0" w:left="1" w:firstLineChars="0" w:firstLine="0"/>
        <w:jc w:val="center"/>
        <w:rPr>
          <w:rFonts w:ascii="Adobe Caslon Pro" w:hAnsi="Adobe Caslon Pro"/>
          <w:color w:val="3C4B92"/>
          <w:sz w:val="30"/>
          <w:szCs w:val="30"/>
        </w:rPr>
      </w:pPr>
      <w:r>
        <w:rPr>
          <w:rFonts w:ascii="Adobe Caslon Pro" w:hAnsi="Adobe Caslon Pro"/>
          <w:color w:val="3C4B92"/>
          <w:sz w:val="30"/>
          <w:szCs w:val="30"/>
        </w:rPr>
        <w:t>5</w:t>
      </w:r>
      <w:r w:rsidRPr="009B6FAA">
        <w:rPr>
          <w:rFonts w:ascii="Adobe Caslon Pro" w:hAnsi="Adobe Caslon Pro"/>
          <w:color w:val="3C4B92"/>
          <w:sz w:val="30"/>
          <w:szCs w:val="30"/>
        </w:rPr>
        <w:t>. T</w:t>
      </w:r>
      <w:r w:rsidRPr="00120943">
        <w:rPr>
          <w:rFonts w:ascii="Adobe Caslon Pro" w:hAnsi="Adobe Caslon Pro"/>
          <w:color w:val="3C4B92"/>
          <w:sz w:val="30"/>
          <w:szCs w:val="30"/>
        </w:rPr>
        <w:t>he righ</w:t>
      </w:r>
      <w:r>
        <w:rPr>
          <w:rFonts w:ascii="Adobe Caslon Pro" w:hAnsi="Adobe Caslon Pro"/>
          <w:color w:val="3C4B92"/>
          <w:sz w:val="30"/>
          <w:szCs w:val="30"/>
        </w:rPr>
        <w:t xml:space="preserve">t </w:t>
      </w:r>
      <w:r w:rsidRPr="004557F3">
        <w:rPr>
          <w:rFonts w:ascii="Adobe Caslon Pro" w:hAnsi="Adobe Caslon Pro"/>
          <w:color w:val="3C4B92"/>
          <w:sz w:val="30"/>
          <w:szCs w:val="30"/>
        </w:rPr>
        <w:t xml:space="preserve">to </w:t>
      </w:r>
      <w:r>
        <w:rPr>
          <w:rFonts w:ascii="Adobe Caslon Pro" w:hAnsi="Adobe Caslon Pro"/>
          <w:color w:val="3C4B92"/>
          <w:sz w:val="30"/>
          <w:szCs w:val="30"/>
        </w:rPr>
        <w:t>return</w:t>
      </w:r>
    </w:p>
    <w:p w14:paraId="5F7D6C1D" w14:textId="77777777" w:rsidR="00707495" w:rsidRDefault="00707495" w:rsidP="00707495">
      <w:pPr>
        <w:spacing w:before="120" w:after="120" w:line="276" w:lineRule="auto"/>
        <w:ind w:leftChars="0" w:firstLineChars="0" w:firstLine="0"/>
        <w:jc w:val="both"/>
        <w:rPr>
          <w:rFonts w:ascii="Garamond" w:hAnsi="Garamond"/>
          <w:sz w:val="30"/>
          <w:szCs w:val="30"/>
        </w:rPr>
      </w:pPr>
      <w:r w:rsidRPr="00707495">
        <w:rPr>
          <w:rFonts w:ascii="Garamond" w:hAnsi="Garamond"/>
          <w:sz w:val="30"/>
          <w:szCs w:val="30"/>
        </w:rPr>
        <w:t xml:space="preserve">Refugees also have the right to be able to return to their home country voluntarily and guarantee security. States are forbidden to force them to return to their home country when conditions are still in a dangerous condition for them to return. There are at least many multilateral treaties on human rights that guarantee for individuals outside their country of origin to be able to return to their country. For example, in Article 13 paragraph (2) of the Universal Declaration of Human Rights stated that "everyone has the right to leave every country including his </w:t>
      </w:r>
      <w:r w:rsidRPr="00707495">
        <w:rPr>
          <w:rFonts w:ascii="Garamond" w:hAnsi="Garamond"/>
          <w:sz w:val="30"/>
          <w:szCs w:val="30"/>
        </w:rPr>
        <w:lastRenderedPageBreak/>
        <w:t xml:space="preserve">country of </w:t>
      </w:r>
      <w:proofErr w:type="gramStart"/>
      <w:r w:rsidRPr="00707495">
        <w:rPr>
          <w:rFonts w:ascii="Garamond" w:hAnsi="Garamond"/>
          <w:sz w:val="30"/>
          <w:szCs w:val="30"/>
        </w:rPr>
        <w:t>origin, and</w:t>
      </w:r>
      <w:proofErr w:type="gramEnd"/>
      <w:r w:rsidRPr="00707495">
        <w:rPr>
          <w:rFonts w:ascii="Garamond" w:hAnsi="Garamond"/>
          <w:sz w:val="30"/>
          <w:szCs w:val="30"/>
        </w:rPr>
        <w:t xml:space="preserve"> has the right to back). </w:t>
      </w:r>
      <w:proofErr w:type="gramStart"/>
      <w:r w:rsidRPr="00707495">
        <w:rPr>
          <w:rFonts w:ascii="Garamond" w:hAnsi="Garamond"/>
          <w:sz w:val="30"/>
          <w:szCs w:val="30"/>
        </w:rPr>
        <w:t>Also</w:t>
      </w:r>
      <w:proofErr w:type="gramEnd"/>
      <w:r w:rsidRPr="00707495">
        <w:rPr>
          <w:rFonts w:ascii="Garamond" w:hAnsi="Garamond"/>
          <w:sz w:val="30"/>
          <w:szCs w:val="30"/>
        </w:rPr>
        <w:t xml:space="preserve"> in Article 12 paragraph (2) of the ICCPR states that "everyone shall be free to leave any country, including his own" and in paragraph (4) stated that "no one shall be arbitrarily deprived of the right to enter his own country "(no one should be arbitrarily deprived of his right to enter his own country). </w:t>
      </w:r>
    </w:p>
    <w:p w14:paraId="0265B5AD" w14:textId="77777777" w:rsidR="00707495" w:rsidRDefault="00707495" w:rsidP="00707495">
      <w:pPr>
        <w:spacing w:before="120" w:after="120" w:line="276" w:lineRule="auto"/>
        <w:ind w:leftChars="0" w:firstLineChars="0" w:firstLine="0"/>
        <w:jc w:val="both"/>
        <w:rPr>
          <w:rFonts w:ascii="Garamond" w:hAnsi="Garamond"/>
          <w:sz w:val="30"/>
          <w:szCs w:val="30"/>
        </w:rPr>
      </w:pPr>
      <w:r w:rsidRPr="00707495">
        <w:rPr>
          <w:rFonts w:ascii="Garamond" w:hAnsi="Garamond"/>
          <w:sz w:val="30"/>
          <w:szCs w:val="30"/>
        </w:rPr>
        <w:t xml:space="preserve">In the Convention on the Elimination of Racial Discrimination, Article 5 letter 2 (ii) states that everyone is guaranteed the right to be free to leave any country including its own country and return to one of the countries which it chooses. In the African Charter on Human Rights and Peoples Rights also provided for in Article 12 paragraph (2) it states that "Every individual shall have the right to leave any country including his own, and to return to his country. "Although the concept of protection of the right to go and return in the home country or other countries is guaranteed in this Convention on Human Rights of </w:t>
      </w:r>
      <w:proofErr w:type="gramStart"/>
      <w:r w:rsidRPr="00707495">
        <w:rPr>
          <w:rFonts w:ascii="Garamond" w:hAnsi="Garamond"/>
          <w:sz w:val="30"/>
          <w:szCs w:val="30"/>
        </w:rPr>
        <w:t>Africa ,</w:t>
      </w:r>
      <w:proofErr w:type="gramEnd"/>
      <w:r w:rsidRPr="00707495">
        <w:rPr>
          <w:rFonts w:ascii="Garamond" w:hAnsi="Garamond"/>
          <w:sz w:val="30"/>
          <w:szCs w:val="30"/>
        </w:rPr>
        <w:t xml:space="preserve"> but this right may be restricted as long as it is governed by laws and regulations solely for the purposes of national security, law, public order, public health, or morality.</w:t>
      </w:r>
    </w:p>
    <w:p w14:paraId="50D1CA73" w14:textId="425185E9" w:rsidR="00707495" w:rsidRDefault="00707495" w:rsidP="00707495">
      <w:pPr>
        <w:spacing w:before="120" w:after="120" w:line="276" w:lineRule="auto"/>
        <w:ind w:leftChars="0" w:firstLineChars="0" w:firstLine="0"/>
        <w:jc w:val="both"/>
        <w:rPr>
          <w:rFonts w:ascii="Garamond" w:hAnsi="Garamond"/>
          <w:sz w:val="30"/>
          <w:szCs w:val="30"/>
        </w:rPr>
      </w:pPr>
      <w:r w:rsidRPr="00707495">
        <w:rPr>
          <w:rFonts w:ascii="Garamond" w:hAnsi="Garamond"/>
          <w:sz w:val="30"/>
          <w:szCs w:val="30"/>
        </w:rPr>
        <w:t xml:space="preserve">This restriction is permissible and in line with Article 12 paragraph (3) of the ICCPR stated that the above Rights shall not be subject to any restrictions except the limitations prescribed by law to protect the national security and public order, public health or morals, or the rights and freedom from others, and in accordance with other rights recognized in the ICCCPR Covenant. The guarantee of the right to return to the country of origin is also guaranteed in the Convention on the Rights of the Child </w:t>
      </w:r>
      <w:proofErr w:type="gramStart"/>
      <w:r w:rsidRPr="00707495">
        <w:rPr>
          <w:rFonts w:ascii="Garamond" w:hAnsi="Garamond"/>
          <w:sz w:val="30"/>
          <w:szCs w:val="30"/>
        </w:rPr>
        <w:t>in particular to</w:t>
      </w:r>
      <w:proofErr w:type="gramEnd"/>
      <w:r w:rsidRPr="00707495">
        <w:rPr>
          <w:rFonts w:ascii="Garamond" w:hAnsi="Garamond"/>
          <w:sz w:val="30"/>
          <w:szCs w:val="30"/>
        </w:rPr>
        <w:t xml:space="preserve"> provide protection to children born outside their home country</w:t>
      </w:r>
      <w:r w:rsidRPr="00707495">
        <w:rPr>
          <w:rFonts w:ascii="Garamond" w:hAnsi="Garamond"/>
          <w:sz w:val="30"/>
          <w:szCs w:val="30"/>
          <w:vertAlign w:val="superscript"/>
        </w:rPr>
        <w:footnoteReference w:id="29"/>
      </w:r>
      <w:r w:rsidRPr="00707495">
        <w:rPr>
          <w:rFonts w:ascii="Garamond" w:hAnsi="Garamond"/>
          <w:sz w:val="30"/>
          <w:szCs w:val="30"/>
        </w:rPr>
        <w:t>.</w:t>
      </w:r>
    </w:p>
    <w:p w14:paraId="0DE6B1AE" w14:textId="044F2B72" w:rsidR="00707495" w:rsidRPr="009B6FAA" w:rsidRDefault="00707495" w:rsidP="00707495">
      <w:pPr>
        <w:spacing w:before="120" w:after="120" w:line="276" w:lineRule="auto"/>
        <w:ind w:left="1" w:hanging="3"/>
        <w:jc w:val="center"/>
        <w:rPr>
          <w:rFonts w:ascii="Adobe Caslon Pro" w:hAnsi="Adobe Caslon Pro"/>
          <w:color w:val="3C4B92"/>
          <w:sz w:val="30"/>
          <w:szCs w:val="30"/>
        </w:rPr>
      </w:pPr>
      <w:r>
        <w:rPr>
          <w:rFonts w:ascii="Adobe Caslon Pro" w:hAnsi="Adobe Caslon Pro"/>
          <w:i/>
          <w:color w:val="3C4B92"/>
          <w:sz w:val="30"/>
          <w:szCs w:val="30"/>
        </w:rPr>
        <w:t>B</w:t>
      </w:r>
      <w:r w:rsidRPr="009B6FAA">
        <w:rPr>
          <w:rFonts w:ascii="Adobe Caslon Pro" w:hAnsi="Adobe Caslon Pro"/>
          <w:i/>
          <w:color w:val="3C4B92"/>
          <w:sz w:val="30"/>
          <w:szCs w:val="30"/>
        </w:rPr>
        <w:t xml:space="preserve">. </w:t>
      </w:r>
      <w:r>
        <w:rPr>
          <w:rFonts w:ascii="Adobe Caslon Pro" w:hAnsi="Adobe Caslon Pro"/>
          <w:i/>
          <w:color w:val="3C4B92"/>
          <w:sz w:val="30"/>
          <w:szCs w:val="30"/>
        </w:rPr>
        <w:t>Non-Refoulment principle</w:t>
      </w:r>
    </w:p>
    <w:p w14:paraId="40896718" w14:textId="0436330B" w:rsidR="00777DEF" w:rsidRPr="00777DEF" w:rsidRDefault="00777DEF" w:rsidP="00777DEF">
      <w:pPr>
        <w:spacing w:before="120" w:after="120" w:line="276" w:lineRule="auto"/>
        <w:ind w:leftChars="0" w:firstLineChars="0" w:firstLine="0"/>
        <w:jc w:val="both"/>
        <w:rPr>
          <w:rFonts w:ascii="Garamond" w:hAnsi="Garamond"/>
          <w:sz w:val="30"/>
          <w:szCs w:val="30"/>
        </w:rPr>
      </w:pPr>
      <w:r w:rsidRPr="00777DEF">
        <w:rPr>
          <w:rFonts w:ascii="Garamond" w:hAnsi="Garamond"/>
          <w:sz w:val="30"/>
          <w:szCs w:val="30"/>
        </w:rPr>
        <w:t xml:space="preserve">The principle of non-refoulment is specifically stipulated in Article 33 (1) of the 1951 Convention. In that Article it is stipulated: "No-Contracting State shall expel or return (refoulment) a refugee in any manner whatsoever to the frontiers of territories "This means that the participating countries of the 1951 Convention are prohibited from evicting or returning refugees in any way to the borders of </w:t>
      </w:r>
      <w:r w:rsidRPr="00777DEF">
        <w:rPr>
          <w:rFonts w:ascii="Garamond" w:hAnsi="Garamond"/>
          <w:sz w:val="30"/>
          <w:szCs w:val="30"/>
        </w:rPr>
        <w:lastRenderedPageBreak/>
        <w:t>areas where life and freedom will threaten by race, religion, nationality, membership of a particular social group or political opinion.</w:t>
      </w:r>
    </w:p>
    <w:p w14:paraId="7244E533" w14:textId="77777777" w:rsidR="00777DEF" w:rsidRPr="00777DEF" w:rsidRDefault="00777DEF" w:rsidP="00777DEF">
      <w:pPr>
        <w:spacing w:before="120" w:after="120" w:line="276" w:lineRule="auto"/>
        <w:ind w:leftChars="0" w:firstLineChars="0" w:firstLine="0"/>
        <w:jc w:val="both"/>
        <w:rPr>
          <w:rFonts w:ascii="Garamond" w:hAnsi="Garamond"/>
          <w:sz w:val="30"/>
          <w:szCs w:val="30"/>
        </w:rPr>
      </w:pPr>
      <w:r w:rsidRPr="00777DEF">
        <w:rPr>
          <w:rFonts w:ascii="Garamond" w:hAnsi="Garamond"/>
          <w:sz w:val="30"/>
          <w:szCs w:val="30"/>
        </w:rPr>
        <w:t xml:space="preserve">The principle of prohibition to restore as provided for in Article 33 of the 1951 Refugee Convention provides broad protection to refugees. This is in line with the hopes of the designers of the 1951 Refugee Convention which wishes to provide a wider range of protection than the earlier international agreements on refugees </w:t>
      </w:r>
      <w:r w:rsidRPr="00777DEF">
        <w:rPr>
          <w:rFonts w:ascii="Garamond" w:hAnsi="Garamond"/>
          <w:sz w:val="30"/>
          <w:szCs w:val="30"/>
          <w:vertAlign w:val="superscript"/>
        </w:rPr>
        <w:footnoteReference w:id="30"/>
      </w:r>
      <w:r w:rsidRPr="00777DEF">
        <w:rPr>
          <w:rFonts w:ascii="Garamond" w:hAnsi="Garamond"/>
          <w:sz w:val="30"/>
          <w:szCs w:val="30"/>
        </w:rPr>
        <w:t>. Most of the International Law scholars provide detailed coverage of the refoulment refugee phrase. "Refugees also include refusals and deportations that place refugee individuals at a risk that is life-threatening. The phrase "by any means" often means that the principle of ¬non-refoulment is applied without limitation. Then the phrase "where life and freedom will be threatened" means that all forms of threat of persecution as set forth in Article 1 of the 1951 Refugee Convention can be considered. These three phrases indicate the extent of the non-refoulment conception.</w:t>
      </w:r>
    </w:p>
    <w:p w14:paraId="5819BB6E" w14:textId="77777777" w:rsidR="00777DEF" w:rsidRPr="00777DEF" w:rsidRDefault="00777DEF" w:rsidP="00777DEF">
      <w:pPr>
        <w:spacing w:before="120" w:after="120" w:line="276" w:lineRule="auto"/>
        <w:ind w:leftChars="0" w:firstLineChars="0" w:firstLine="0"/>
        <w:jc w:val="both"/>
        <w:rPr>
          <w:rFonts w:ascii="Garamond" w:hAnsi="Garamond"/>
          <w:sz w:val="30"/>
          <w:szCs w:val="30"/>
        </w:rPr>
      </w:pPr>
      <w:r w:rsidRPr="00777DEF">
        <w:rPr>
          <w:rFonts w:ascii="Garamond" w:hAnsi="Garamond"/>
          <w:sz w:val="30"/>
          <w:szCs w:val="30"/>
        </w:rPr>
        <w:t xml:space="preserve">The non-refoulment principle laid down in the 1967 Refugee Protocol also refers to the concept of the principle of the prohibition of expulsion and return of refugees as set forth in Article 33 of the Refugee Convention 1951. The regional agreements relating to refugees also use the same conceptual arrangements relating to the principle of non-refoulment although some modifications exist for more applicable in the region such as rejection at the frontier is a clear violation of the principle of non-refoulment. It is stipulated in Article 3 of the Organization of the African Unity Convention on Specific Aspects of Refugee Problems in Africa that "no person shall be subject to a frontier, return, or expulsion ...". The Cartagena Declaration in Part III of paragraph 5 describes the importance of the principle of non-refoulment which includes a prohibition against refugee refusal at the border. </w:t>
      </w:r>
    </w:p>
    <w:p w14:paraId="6E3845FF"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 xml:space="preserve">The principle of the prohibition of expulsion and repayment may also apply to asylum seekers including those who have been granted asylum legally under international law. This principle is also regarded as a fundamental principle concerning refugee protection. For this reason, this principle is also seen as an </w:t>
      </w:r>
      <w:r w:rsidRPr="00777DEF">
        <w:rPr>
          <w:rFonts w:ascii="Garamond" w:hAnsi="Garamond"/>
          <w:sz w:val="30"/>
          <w:szCs w:val="30"/>
          <w:lang w:val="en-ID"/>
        </w:rPr>
        <w:lastRenderedPageBreak/>
        <w:t xml:space="preserve">inherent right of the refugees from the time they first came out of their country and during their stay in the refugee country </w:t>
      </w:r>
      <w:r w:rsidRPr="00777DEF">
        <w:rPr>
          <w:rFonts w:ascii="Garamond" w:hAnsi="Garamond"/>
          <w:sz w:val="30"/>
          <w:szCs w:val="30"/>
          <w:vertAlign w:val="superscript"/>
          <w:lang w:val="en-ID"/>
        </w:rPr>
        <w:footnoteReference w:id="31"/>
      </w:r>
      <w:r w:rsidRPr="00777DEF">
        <w:rPr>
          <w:rFonts w:ascii="Garamond" w:hAnsi="Garamond"/>
          <w:sz w:val="30"/>
          <w:szCs w:val="30"/>
          <w:lang w:val="en-ID"/>
        </w:rPr>
        <w:t>. The right is a non-</w:t>
      </w:r>
      <w:proofErr w:type="spellStart"/>
      <w:r w:rsidRPr="00777DEF">
        <w:rPr>
          <w:rFonts w:ascii="Garamond" w:hAnsi="Garamond"/>
          <w:sz w:val="30"/>
          <w:szCs w:val="30"/>
          <w:lang w:val="en-ID"/>
        </w:rPr>
        <w:t>derogable</w:t>
      </w:r>
      <w:proofErr w:type="spellEnd"/>
      <w:r w:rsidRPr="00777DEF">
        <w:rPr>
          <w:rFonts w:ascii="Garamond" w:hAnsi="Garamond"/>
          <w:sz w:val="30"/>
          <w:szCs w:val="30"/>
          <w:lang w:val="en-ID"/>
        </w:rPr>
        <w:t xml:space="preserve"> right considering that in Article 42 of the 1951 Refugee Convention it is stipulated that the State party to the Convention shall not be afforded an opportunity to place a reservation on the principle of non-refoulment set forth in Article 33 of the Convention.</w:t>
      </w:r>
    </w:p>
    <w:p w14:paraId="7FE23C12"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Article 33 (2) of the 1951 Refugee Convention provides an exception to the application of the principle of non-refoulment which provides that:</w:t>
      </w:r>
    </w:p>
    <w:p w14:paraId="2527893C"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"Benefit of the present provision may not, however, be claimed by a refugee as a danger to the security of the country in which he is, or who has been convicted by a final judgment of a particularly serious crime, constitutes a danger to the community of that country."</w:t>
      </w:r>
    </w:p>
    <w:p w14:paraId="78C87EA9"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 xml:space="preserve">From the sound of Article 33 (2) it contains two reasons for the permission of a State Party to the Convention to violate the obligation to implement the principle of non-refoulment, namely: public order and national security. The reason for this public order can be used if a refugee has been punished by the final judgment of a very serious and dangerous crime for the people of that country (having been convicted by a final judgment of a particularly serious crime of that country). Therefore, to refuse a refugee, the States Parties to the Convention shall be obligated to base a court decision which is </w:t>
      </w:r>
      <w:proofErr w:type="spellStart"/>
      <w:r w:rsidRPr="00777DEF">
        <w:rPr>
          <w:rFonts w:ascii="Garamond" w:hAnsi="Garamond"/>
          <w:i/>
          <w:sz w:val="30"/>
          <w:szCs w:val="30"/>
          <w:lang w:val="en-ID"/>
        </w:rPr>
        <w:t>inkrakht</w:t>
      </w:r>
      <w:proofErr w:type="spellEnd"/>
      <w:r w:rsidRPr="00777DEF">
        <w:rPr>
          <w:rFonts w:ascii="Garamond" w:hAnsi="Garamond"/>
          <w:sz w:val="30"/>
          <w:szCs w:val="30"/>
          <w:lang w:val="en-ID"/>
        </w:rPr>
        <w:t xml:space="preserve"> (final) to a serious crime committed by a refugee.</w:t>
      </w:r>
    </w:p>
    <w:p w14:paraId="3EB01E9E"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 xml:space="preserve">The national security which may be exempted from applying the principle of non-refoulment shall have the condition that there shall be reasonable grounds to regard as a danger to the security of the country in which it is situated. The phrase "proper reason" is not reiterated in the 1951 Refugee Convention so that in practice it is often interpreted extensively by many of the parties to the Convention. According to Weiner large-scale refugee flows can burden a country's economy, change ethnic balance, into a source of conflict, which can even lead to political turmoil at both local and national levels in a country </w:t>
      </w:r>
      <w:r w:rsidRPr="00777DEF">
        <w:rPr>
          <w:rFonts w:ascii="Garamond" w:hAnsi="Garamond"/>
          <w:sz w:val="30"/>
          <w:szCs w:val="30"/>
          <w:vertAlign w:val="superscript"/>
          <w:lang w:val="en-ID"/>
        </w:rPr>
        <w:footnoteReference w:id="32"/>
      </w:r>
      <w:r w:rsidRPr="00777DEF">
        <w:rPr>
          <w:rFonts w:ascii="Garamond" w:hAnsi="Garamond"/>
          <w:sz w:val="30"/>
          <w:szCs w:val="30"/>
          <w:lang w:val="en-ID"/>
        </w:rPr>
        <w:t xml:space="preserve">. But </w:t>
      </w:r>
      <w:r w:rsidRPr="00777DEF">
        <w:rPr>
          <w:rFonts w:ascii="Garamond" w:hAnsi="Garamond"/>
          <w:sz w:val="30"/>
          <w:szCs w:val="30"/>
          <w:lang w:val="en-ID"/>
        </w:rPr>
        <w:lastRenderedPageBreak/>
        <w:t>at least this reasonable ground requirement provides a control for the participating States of the Convention in order not to be arbitrary in refusing the entry of refugees.</w:t>
      </w:r>
    </w:p>
    <w:p w14:paraId="05936BBE"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Article 1 (f) of the 1951 Refugee Convention clearly provides that refugee status shall not be granted to an individual for serious reasons including:</w:t>
      </w:r>
    </w:p>
    <w:p w14:paraId="0399116C" w14:textId="77777777" w:rsidR="00777DEF" w:rsidRPr="00777DEF" w:rsidRDefault="00777DEF" w:rsidP="00896DED">
      <w:pPr>
        <w:numPr>
          <w:ilvl w:val="1"/>
          <w:numId w:val="6"/>
        </w:numPr>
        <w:spacing w:before="120" w:after="120" w:line="276" w:lineRule="auto"/>
        <w:ind w:leftChars="0" w:left="567" w:firstLineChars="0" w:hanging="425"/>
        <w:jc w:val="both"/>
        <w:rPr>
          <w:rFonts w:ascii="Garamond" w:hAnsi="Garamond"/>
          <w:sz w:val="30"/>
          <w:szCs w:val="30"/>
        </w:rPr>
      </w:pPr>
      <w:r w:rsidRPr="00777DEF">
        <w:rPr>
          <w:rFonts w:ascii="Garamond" w:hAnsi="Garamond"/>
          <w:sz w:val="30"/>
          <w:szCs w:val="30"/>
        </w:rPr>
        <w:t xml:space="preserve">he has committed a crime against peace, a war crime, or a crime against humanity, as defined in the international instruments drawn up to make provision in respect of such </w:t>
      </w:r>
      <w:proofErr w:type="gramStart"/>
      <w:r w:rsidRPr="00777DEF">
        <w:rPr>
          <w:rFonts w:ascii="Garamond" w:hAnsi="Garamond"/>
          <w:sz w:val="30"/>
          <w:szCs w:val="30"/>
        </w:rPr>
        <w:t>crimes;</w:t>
      </w:r>
      <w:proofErr w:type="gramEnd"/>
    </w:p>
    <w:p w14:paraId="223E14F5" w14:textId="77777777" w:rsidR="00777DEF" w:rsidRPr="00777DEF" w:rsidRDefault="00777DEF" w:rsidP="00896DED">
      <w:pPr>
        <w:numPr>
          <w:ilvl w:val="1"/>
          <w:numId w:val="6"/>
        </w:numPr>
        <w:spacing w:before="120" w:after="120" w:line="276" w:lineRule="auto"/>
        <w:ind w:leftChars="0" w:left="567" w:firstLineChars="0" w:hanging="425"/>
        <w:jc w:val="both"/>
        <w:rPr>
          <w:rFonts w:ascii="Garamond" w:hAnsi="Garamond"/>
          <w:sz w:val="30"/>
          <w:szCs w:val="30"/>
        </w:rPr>
      </w:pPr>
      <w:r w:rsidRPr="00777DEF">
        <w:rPr>
          <w:rFonts w:ascii="Garamond" w:hAnsi="Garamond"/>
          <w:sz w:val="30"/>
          <w:szCs w:val="30"/>
        </w:rPr>
        <w:t xml:space="preserve">he has committed a serious non-political crime outside the country of refuge prior to his admission to that country as a </w:t>
      </w:r>
      <w:proofErr w:type="gramStart"/>
      <w:r w:rsidRPr="00777DEF">
        <w:rPr>
          <w:rFonts w:ascii="Garamond" w:hAnsi="Garamond"/>
          <w:sz w:val="30"/>
          <w:szCs w:val="30"/>
        </w:rPr>
        <w:t>refugee;</w:t>
      </w:r>
      <w:proofErr w:type="gramEnd"/>
    </w:p>
    <w:p w14:paraId="42B6C1BD" w14:textId="77777777" w:rsidR="00777DEF" w:rsidRPr="00777DEF" w:rsidRDefault="00777DEF" w:rsidP="00896DED">
      <w:pPr>
        <w:numPr>
          <w:ilvl w:val="1"/>
          <w:numId w:val="6"/>
        </w:numPr>
        <w:spacing w:before="120" w:after="120" w:line="276" w:lineRule="auto"/>
        <w:ind w:leftChars="0" w:left="567" w:firstLineChars="0" w:hanging="425"/>
        <w:jc w:val="both"/>
        <w:rPr>
          <w:rFonts w:ascii="Garamond" w:hAnsi="Garamond"/>
          <w:sz w:val="30"/>
          <w:szCs w:val="30"/>
        </w:rPr>
      </w:pPr>
      <w:r w:rsidRPr="00777DEF">
        <w:rPr>
          <w:rFonts w:ascii="Garamond" w:hAnsi="Garamond"/>
          <w:sz w:val="30"/>
          <w:szCs w:val="30"/>
        </w:rPr>
        <w:t>he has been guilty of acts contrary to the purposes and principles of the United Nations.</w:t>
      </w:r>
    </w:p>
    <w:p w14:paraId="7833351E" w14:textId="77777777" w:rsidR="00777DEF" w:rsidRPr="00777DEF" w:rsidRDefault="00777DEF" w:rsidP="00777DEF">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From the rule it is clear that refugee status is not granted to a refugee if: (1) he has committed a crime that threatens peace, is not a criminal war, or a crime against humanity as set forth in the international instrument established to establish the provisions of the offense; (2) he has committed a serious non-political crime outside the refugee country before he was admitted into the country as a refugee; (3) he has been found guilty of acts contrary to the purposes and principles of the United Nations. The existence of article 1 letter F may directly limit the States Parties to the Convention to broadly interpret the reasons for "national security" as provided for in Article 33 (2) of the 1951 Refugee Convention so that an individual committing one or all of the offenses referred to in Article 1 letter F can be said to have threatened the security of refugee country.</w:t>
      </w:r>
    </w:p>
    <w:p w14:paraId="679E3404" w14:textId="2A514E37" w:rsidR="00A07DFD" w:rsidRPr="00896DED" w:rsidRDefault="00777DEF" w:rsidP="00896DED">
      <w:pPr>
        <w:spacing w:before="120" w:after="120" w:line="276" w:lineRule="auto"/>
        <w:ind w:leftChars="0" w:firstLineChars="0" w:firstLine="0"/>
        <w:jc w:val="both"/>
        <w:rPr>
          <w:rFonts w:ascii="Garamond" w:hAnsi="Garamond"/>
          <w:sz w:val="30"/>
          <w:szCs w:val="30"/>
          <w:lang w:val="en-ID"/>
        </w:rPr>
      </w:pPr>
      <w:r w:rsidRPr="00777DEF">
        <w:rPr>
          <w:rFonts w:ascii="Garamond" w:hAnsi="Garamond"/>
          <w:sz w:val="30"/>
          <w:szCs w:val="30"/>
          <w:lang w:val="en-ID"/>
        </w:rPr>
        <w:t xml:space="preserve">As provided for in Articles 31 and 32 of the Vienna Convention on the Treaty of the Convention, the exemption provided for in Article 33 (2) of the 1951 Refugee Convention shall be narrowly interpreted. The interpretation must be in accordance with the objectives and functions of the 1951 Refugee Convention, the limits given in Article 1 (F) of refugee status, and the basic principle of non-refoulment </w:t>
      </w:r>
      <w:r w:rsidRPr="00777DEF">
        <w:rPr>
          <w:rFonts w:ascii="Garamond" w:hAnsi="Garamond"/>
          <w:sz w:val="30"/>
          <w:szCs w:val="30"/>
          <w:vertAlign w:val="superscript"/>
          <w:lang w:val="en-ID"/>
        </w:rPr>
        <w:footnoteReference w:id="33"/>
      </w:r>
      <w:r w:rsidRPr="00777DEF">
        <w:rPr>
          <w:rFonts w:ascii="Garamond" w:hAnsi="Garamond"/>
          <w:sz w:val="30"/>
          <w:szCs w:val="30"/>
          <w:lang w:val="en-ID"/>
        </w:rPr>
        <w:t>.</w:t>
      </w:r>
    </w:p>
    <w:p w14:paraId="768121F7" w14:textId="0ADDEA2D" w:rsidR="00A07DFD" w:rsidRPr="009B6FAA" w:rsidRDefault="00A07DFD" w:rsidP="00A07DFD">
      <w:pPr>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b/>
          <w:color w:val="3C4B92"/>
          <w:sz w:val="30"/>
          <w:szCs w:val="30"/>
        </w:rPr>
        <w:lastRenderedPageBreak/>
        <w:t>I</w:t>
      </w:r>
      <w:r w:rsidR="003A5838" w:rsidRPr="009B6FAA">
        <w:rPr>
          <w:rFonts w:ascii="Adobe Caslon Pro" w:hAnsi="Adobe Caslon Pro"/>
          <w:b/>
          <w:color w:val="3C4B92"/>
          <w:sz w:val="30"/>
          <w:szCs w:val="30"/>
        </w:rPr>
        <w:t>V</w:t>
      </w:r>
      <w:r w:rsidRPr="009B6FAA">
        <w:rPr>
          <w:rFonts w:ascii="Adobe Caslon Pro" w:hAnsi="Adobe Caslon Pro"/>
          <w:b/>
          <w:color w:val="3C4B92"/>
          <w:sz w:val="30"/>
          <w:szCs w:val="30"/>
        </w:rPr>
        <w:t xml:space="preserve">. </w:t>
      </w:r>
      <w:r w:rsidR="00896DED">
        <w:rPr>
          <w:rFonts w:ascii="Adobe Caslon Pro" w:hAnsi="Adobe Caslon Pro"/>
          <w:b/>
          <w:color w:val="3C4B92"/>
          <w:sz w:val="30"/>
          <w:szCs w:val="30"/>
        </w:rPr>
        <w:t xml:space="preserve">INDONESIAN APPROACH ON NON-REFOULMENT PRINCIPLE </w:t>
      </w:r>
    </w:p>
    <w:p w14:paraId="70E8C613" w14:textId="73936671" w:rsidR="00896DED" w:rsidRPr="00896DED" w:rsidRDefault="00896DED" w:rsidP="00896DED">
      <w:pPr>
        <w:spacing w:before="120" w:after="120" w:line="276" w:lineRule="auto"/>
        <w:ind w:left="1" w:hanging="3"/>
        <w:jc w:val="both"/>
        <w:rPr>
          <w:rFonts w:ascii="Garamond" w:hAnsi="Garamond"/>
          <w:sz w:val="30"/>
          <w:szCs w:val="30"/>
        </w:rPr>
      </w:pPr>
      <w:r>
        <w:rPr>
          <w:rFonts w:ascii="Garamond" w:hAnsi="Garamond"/>
          <w:sz w:val="30"/>
          <w:szCs w:val="30"/>
        </w:rPr>
        <w:t>T</w:t>
      </w:r>
      <w:r w:rsidRPr="00896DED">
        <w:rPr>
          <w:rFonts w:ascii="Garamond" w:hAnsi="Garamond"/>
          <w:sz w:val="30"/>
          <w:szCs w:val="30"/>
        </w:rPr>
        <w:t xml:space="preserve">he principle of non-refoulement which considered as the highest norm in international law also bounds to Indonesia as non-participant the 1951 Refugee Convention. Thus, Indonesia </w:t>
      </w:r>
      <w:proofErr w:type="gramStart"/>
      <w:r w:rsidRPr="00896DED">
        <w:rPr>
          <w:rFonts w:ascii="Garamond" w:hAnsi="Garamond"/>
          <w:sz w:val="30"/>
          <w:szCs w:val="30"/>
        </w:rPr>
        <w:t>has to</w:t>
      </w:r>
      <w:proofErr w:type="gramEnd"/>
      <w:r w:rsidRPr="00896DED">
        <w:rPr>
          <w:rFonts w:ascii="Garamond" w:hAnsi="Garamond"/>
          <w:sz w:val="30"/>
          <w:szCs w:val="30"/>
        </w:rPr>
        <w:t xml:space="preserve"> show its commitment to uphold the principle within the domestic jurisdiction </w:t>
      </w:r>
      <w:r w:rsidRPr="00896DED">
        <w:rPr>
          <w:rFonts w:ascii="Garamond" w:hAnsi="Garamond"/>
          <w:sz w:val="30"/>
          <w:szCs w:val="30"/>
          <w:vertAlign w:val="superscript"/>
        </w:rPr>
        <w:footnoteReference w:id="34"/>
      </w:r>
      <w:r w:rsidRPr="00896DED">
        <w:rPr>
          <w:rFonts w:ascii="Garamond" w:hAnsi="Garamond"/>
          <w:sz w:val="30"/>
          <w:szCs w:val="30"/>
        </w:rPr>
        <w:t xml:space="preserve">. </w:t>
      </w:r>
    </w:p>
    <w:p w14:paraId="2D03B5A6" w14:textId="77777777" w:rsidR="00896DED" w:rsidRPr="00896DED" w:rsidRDefault="00896DED" w:rsidP="00896DED">
      <w:pPr>
        <w:spacing w:before="120" w:after="120" w:line="276" w:lineRule="auto"/>
        <w:ind w:left="1" w:hanging="3"/>
        <w:jc w:val="both"/>
        <w:rPr>
          <w:rFonts w:ascii="Garamond" w:hAnsi="Garamond"/>
          <w:sz w:val="30"/>
          <w:szCs w:val="30"/>
        </w:rPr>
      </w:pPr>
      <w:r w:rsidRPr="00896DED">
        <w:rPr>
          <w:rFonts w:ascii="Garamond" w:hAnsi="Garamond"/>
          <w:sz w:val="30"/>
          <w:szCs w:val="30"/>
        </w:rPr>
        <w:t>As a form of supervision of refugees in Indonesia, the Government has determined to keep the lives of refugees by placing them in the Immigration Detention Centre (</w:t>
      </w:r>
      <w:proofErr w:type="spellStart"/>
      <w:r w:rsidRPr="00896DED">
        <w:rPr>
          <w:rFonts w:ascii="Garamond" w:hAnsi="Garamond"/>
          <w:i/>
          <w:iCs/>
          <w:sz w:val="30"/>
          <w:szCs w:val="30"/>
        </w:rPr>
        <w:t>rudenim</w:t>
      </w:r>
      <w:proofErr w:type="spellEnd"/>
      <w:r w:rsidRPr="00896DED">
        <w:rPr>
          <w:rFonts w:ascii="Garamond" w:hAnsi="Garamond"/>
          <w:sz w:val="30"/>
          <w:szCs w:val="30"/>
        </w:rPr>
        <w:t xml:space="preserve">) or community house. Based on the Presidential Regulation, if a foreigner enters the border area and is suspected of being a refugee, the Immigration Officer in collaboration with the Police Officer can immediately place them at the nearest Immigration Detention Centre </w:t>
      </w:r>
      <w:r w:rsidRPr="00896DED">
        <w:rPr>
          <w:rFonts w:ascii="Garamond" w:hAnsi="Garamond"/>
          <w:sz w:val="30"/>
          <w:szCs w:val="30"/>
          <w:vertAlign w:val="superscript"/>
        </w:rPr>
        <w:footnoteReference w:id="35"/>
      </w:r>
      <w:r w:rsidRPr="00896DED">
        <w:rPr>
          <w:rFonts w:ascii="Garamond" w:hAnsi="Garamond"/>
          <w:sz w:val="30"/>
          <w:szCs w:val="30"/>
        </w:rPr>
        <w:t xml:space="preserve">. </w:t>
      </w:r>
    </w:p>
    <w:p w14:paraId="025C66C4" w14:textId="77777777" w:rsidR="00896DED" w:rsidRPr="00896DED" w:rsidRDefault="00896DED" w:rsidP="00896DED">
      <w:pPr>
        <w:spacing w:before="120" w:after="120" w:line="276" w:lineRule="auto"/>
        <w:ind w:left="1" w:hanging="3"/>
        <w:jc w:val="both"/>
        <w:rPr>
          <w:rFonts w:ascii="Garamond" w:hAnsi="Garamond"/>
          <w:sz w:val="30"/>
          <w:szCs w:val="30"/>
          <w:lang w:val="en-ID"/>
        </w:rPr>
      </w:pPr>
      <w:r w:rsidRPr="00896DED">
        <w:rPr>
          <w:rFonts w:ascii="Garamond" w:hAnsi="Garamond"/>
          <w:sz w:val="30"/>
          <w:szCs w:val="30"/>
          <w:lang w:val="en-ID"/>
        </w:rPr>
        <w:t xml:space="preserve">Currently, the existence of detention centres in Indonesia is over capacity considering that too many refugees and asylum seekers enter Indonesian territory every year </w:t>
      </w:r>
      <w:r w:rsidRPr="00896DED">
        <w:rPr>
          <w:rFonts w:ascii="Garamond" w:hAnsi="Garamond"/>
          <w:sz w:val="30"/>
          <w:szCs w:val="30"/>
          <w:vertAlign w:val="superscript"/>
          <w:lang w:val="en-ID"/>
        </w:rPr>
        <w:footnoteReference w:id="36"/>
      </w:r>
      <w:r w:rsidRPr="00896DED">
        <w:rPr>
          <w:rFonts w:ascii="Garamond" w:hAnsi="Garamond"/>
          <w:sz w:val="30"/>
          <w:szCs w:val="30"/>
          <w:lang w:val="en-ID"/>
        </w:rPr>
        <w:t>. To answer the problem regarding the limitations of detention centre facilities, the Regency/City Government is required to have community housing to accommodate the refugees. However, this shelter facility is only given to people who have obtained the status as refugees stipulated by UNHCR. For those who are rejected as refugees, they will remain at the Immigration Detention Centre until the process of voluntary repatriation, re-settlement to a third country, or deportation is carried out.</w:t>
      </w:r>
    </w:p>
    <w:p w14:paraId="2DDF2F4B" w14:textId="77777777" w:rsidR="00896DED" w:rsidRPr="00896DED" w:rsidRDefault="00896DED" w:rsidP="00896DED">
      <w:pPr>
        <w:spacing w:before="120" w:after="120" w:line="276" w:lineRule="auto"/>
        <w:ind w:left="1" w:hanging="3"/>
        <w:jc w:val="both"/>
        <w:rPr>
          <w:rFonts w:ascii="Garamond" w:hAnsi="Garamond"/>
          <w:sz w:val="30"/>
          <w:szCs w:val="30"/>
          <w:lang w:val="en-ID"/>
        </w:rPr>
      </w:pPr>
      <w:r w:rsidRPr="00896DED">
        <w:rPr>
          <w:rFonts w:ascii="Garamond" w:hAnsi="Garamond"/>
          <w:sz w:val="30"/>
          <w:szCs w:val="30"/>
          <w:lang w:val="en-ID"/>
        </w:rPr>
        <w:t xml:space="preserve">Returning to their country of origin which may still be unsafe for refugees would be against the non-refoulement principle. Hence, in general, the refugees stay in the Immigration Detention Centre, on average, for quite a long time. The lack of financial support from donors has caused international organizations such as the International Organization for Migration (IOM) and UNHCR to tighten and be </w:t>
      </w:r>
      <w:r w:rsidRPr="00896DED">
        <w:rPr>
          <w:rFonts w:ascii="Garamond" w:hAnsi="Garamond"/>
          <w:sz w:val="30"/>
          <w:szCs w:val="30"/>
          <w:lang w:val="en-ID"/>
        </w:rPr>
        <w:lastRenderedPageBreak/>
        <w:t>very selective in granting refugee status. In addition, the chances of resettlement of refugees are getting smaller because a number of countries that were originally committed to accepting refugees have closed themselves and even reduced their acceptance quotas.</w:t>
      </w:r>
    </w:p>
    <w:p w14:paraId="66260BAA" w14:textId="77777777" w:rsidR="00896DED" w:rsidRPr="00896DED" w:rsidRDefault="00896DED" w:rsidP="00896DED">
      <w:pPr>
        <w:spacing w:before="120" w:after="120" w:line="276" w:lineRule="auto"/>
        <w:ind w:left="1" w:hanging="3"/>
        <w:jc w:val="both"/>
        <w:rPr>
          <w:rFonts w:ascii="Garamond" w:hAnsi="Garamond"/>
          <w:sz w:val="30"/>
          <w:szCs w:val="30"/>
          <w:lang w:val="en-ID"/>
        </w:rPr>
      </w:pPr>
      <w:r w:rsidRPr="00896DED">
        <w:rPr>
          <w:rFonts w:ascii="Garamond" w:hAnsi="Garamond"/>
          <w:sz w:val="30"/>
          <w:szCs w:val="30"/>
          <w:lang w:val="en-ID"/>
        </w:rPr>
        <w:t xml:space="preserve">The government provides assistance to carry out voluntary repatriation to refugees who have not received certainty to settle in a third country. In this regard, the Government cooperates with embassies and international organizations such as IOM and UNHCR. </w:t>
      </w:r>
    </w:p>
    <w:p w14:paraId="5C9A6B2C" w14:textId="77777777" w:rsidR="00896DED" w:rsidRPr="00896DED" w:rsidRDefault="00896DED" w:rsidP="00896DED">
      <w:pPr>
        <w:spacing w:before="120" w:after="120" w:line="276" w:lineRule="auto"/>
        <w:ind w:left="1" w:hanging="3"/>
        <w:jc w:val="both"/>
        <w:rPr>
          <w:rFonts w:ascii="Garamond" w:hAnsi="Garamond"/>
          <w:sz w:val="30"/>
          <w:szCs w:val="30"/>
          <w:lang w:val="en-ID"/>
        </w:rPr>
      </w:pPr>
      <w:r w:rsidRPr="00896DED">
        <w:rPr>
          <w:rFonts w:ascii="Garamond" w:hAnsi="Garamond"/>
          <w:sz w:val="30"/>
          <w:szCs w:val="30"/>
          <w:lang w:val="en-ID"/>
        </w:rPr>
        <w:t xml:space="preserve">Of course, the most dominant obstacle faced by the Government is related to financial capacity, especially during the Covid-19 pandemic where most of the budget is allocated for epidemic control </w:t>
      </w:r>
      <w:r w:rsidRPr="00896DED">
        <w:rPr>
          <w:rFonts w:ascii="Garamond" w:hAnsi="Garamond"/>
          <w:sz w:val="30"/>
          <w:szCs w:val="30"/>
          <w:vertAlign w:val="superscript"/>
          <w:lang w:val="en-ID"/>
        </w:rPr>
        <w:footnoteReference w:id="37"/>
      </w:r>
      <w:r w:rsidRPr="00896DED">
        <w:rPr>
          <w:rFonts w:ascii="Garamond" w:hAnsi="Garamond"/>
          <w:sz w:val="30"/>
          <w:szCs w:val="30"/>
          <w:lang w:val="en-ID"/>
        </w:rPr>
        <w:t>. The situation of the refugees who are in the shelter and the Immigration Detention Centre is getting squeezed and suffering. Thus, it is very important to reduce the number of refugees through the process of voluntary repatriation, re-settlement to a third country, or deportation.</w:t>
      </w:r>
    </w:p>
    <w:p w14:paraId="2B0E5ED6" w14:textId="77777777" w:rsidR="00896DED" w:rsidRPr="00896DED" w:rsidRDefault="00896DED" w:rsidP="00896DED">
      <w:pPr>
        <w:spacing w:before="120" w:after="120" w:line="276" w:lineRule="auto"/>
        <w:ind w:left="1" w:hanging="3"/>
        <w:jc w:val="both"/>
        <w:rPr>
          <w:rFonts w:ascii="Garamond" w:hAnsi="Garamond"/>
          <w:sz w:val="30"/>
          <w:szCs w:val="30"/>
          <w:lang w:val="en-ID"/>
        </w:rPr>
      </w:pPr>
      <w:r w:rsidRPr="00896DED">
        <w:rPr>
          <w:rFonts w:ascii="Garamond" w:hAnsi="Garamond"/>
          <w:sz w:val="30"/>
          <w:szCs w:val="30"/>
          <w:lang w:val="en-ID"/>
        </w:rPr>
        <w:t xml:space="preserve">In addition, the deportation model adopted by Indonesia is depending on the situation of the country of origin </w:t>
      </w:r>
      <w:r w:rsidRPr="00896DED">
        <w:rPr>
          <w:rFonts w:ascii="Garamond" w:hAnsi="Garamond"/>
          <w:sz w:val="30"/>
          <w:szCs w:val="30"/>
          <w:vertAlign w:val="superscript"/>
          <w:lang w:val="en-ID"/>
        </w:rPr>
        <w:footnoteReference w:id="38"/>
      </w:r>
      <w:r w:rsidRPr="00896DED">
        <w:rPr>
          <w:rFonts w:ascii="Garamond" w:hAnsi="Garamond"/>
          <w:sz w:val="30"/>
          <w:szCs w:val="30"/>
          <w:lang w:val="en-ID"/>
        </w:rPr>
        <w:t>. If the country of origin is safe, the refugees who do not want to return will be deported. The deportation process is carried out not only with financial assistance from the Government but also generally from refugees themselves who have saved money while living in Indonesia.</w:t>
      </w:r>
    </w:p>
    <w:p w14:paraId="61590823" w14:textId="2B69F517" w:rsidR="00896DED" w:rsidRDefault="00896DED" w:rsidP="00896DED">
      <w:pPr>
        <w:spacing w:before="120" w:after="120" w:line="276" w:lineRule="auto"/>
        <w:ind w:left="1" w:hanging="3"/>
        <w:jc w:val="both"/>
        <w:rPr>
          <w:rFonts w:ascii="Garamond" w:hAnsi="Garamond"/>
          <w:sz w:val="30"/>
          <w:szCs w:val="30"/>
        </w:rPr>
      </w:pPr>
      <w:r w:rsidRPr="00896DED">
        <w:rPr>
          <w:rFonts w:ascii="Garamond" w:hAnsi="Garamond"/>
          <w:sz w:val="30"/>
          <w:szCs w:val="30"/>
          <w:lang w:val="en-ID"/>
        </w:rPr>
        <w:t xml:space="preserve">In some cases, for refugees who lives in Indonesia through community housing, they immediately adapt and socialize with the local community. There are refugees who are married to Indonesian citizens. There are also refugees who get Residence Identity Cards through corrupt practices, by paying a certain amount of money </w:t>
      </w:r>
      <w:r w:rsidRPr="00896DED">
        <w:rPr>
          <w:rFonts w:ascii="Garamond" w:hAnsi="Garamond"/>
          <w:sz w:val="30"/>
          <w:szCs w:val="30"/>
          <w:vertAlign w:val="superscript"/>
          <w:lang w:val="en-ID"/>
        </w:rPr>
        <w:footnoteReference w:id="39"/>
      </w:r>
      <w:r w:rsidRPr="00896DED">
        <w:rPr>
          <w:rFonts w:ascii="Garamond" w:hAnsi="Garamond"/>
          <w:sz w:val="30"/>
          <w:szCs w:val="30"/>
        </w:rPr>
        <w:t>.</w:t>
      </w:r>
    </w:p>
    <w:p w14:paraId="7260B69D" w14:textId="2C653782" w:rsidR="00896DED" w:rsidRPr="009B6FAA" w:rsidRDefault="00896DED" w:rsidP="00896DED">
      <w:pPr>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b/>
          <w:color w:val="3C4B92"/>
          <w:sz w:val="30"/>
          <w:szCs w:val="30"/>
        </w:rPr>
        <w:t xml:space="preserve">V. </w:t>
      </w:r>
      <w:r>
        <w:rPr>
          <w:rFonts w:ascii="Adobe Caslon Pro" w:hAnsi="Adobe Caslon Pro"/>
          <w:b/>
          <w:color w:val="3C4B92"/>
          <w:sz w:val="30"/>
          <w:szCs w:val="30"/>
        </w:rPr>
        <w:t>LESSONS FROM EU</w:t>
      </w:r>
      <w:r w:rsidR="00BF38AF">
        <w:rPr>
          <w:rFonts w:ascii="Adobe Caslon Pro" w:hAnsi="Adobe Caslon Pro"/>
          <w:b/>
          <w:color w:val="3C4B92"/>
          <w:sz w:val="30"/>
          <w:szCs w:val="30"/>
        </w:rPr>
        <w:t>R</w:t>
      </w:r>
      <w:r>
        <w:rPr>
          <w:rFonts w:ascii="Adobe Caslon Pro" w:hAnsi="Adobe Caslon Pro"/>
          <w:b/>
          <w:color w:val="3C4B92"/>
          <w:sz w:val="30"/>
          <w:szCs w:val="30"/>
        </w:rPr>
        <w:t>OPEAN UNION</w:t>
      </w:r>
      <w:r>
        <w:rPr>
          <w:rFonts w:ascii="Adobe Caslon Pro" w:hAnsi="Adobe Caslon Pro"/>
          <w:b/>
          <w:color w:val="3C4B92"/>
          <w:sz w:val="30"/>
          <w:szCs w:val="30"/>
        </w:rPr>
        <w:t xml:space="preserve"> </w:t>
      </w:r>
    </w:p>
    <w:p w14:paraId="275EEFF6" w14:textId="3B96820F"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lastRenderedPageBreak/>
        <w:t>The European Union already has a good legal framework in providing protection for refugees.</w:t>
      </w:r>
      <w:r w:rsidRPr="00BF38AF">
        <w:rPr>
          <w:rFonts w:ascii="Garamond" w:hAnsi="Garamond"/>
          <w:sz w:val="30"/>
          <w:szCs w:val="30"/>
          <w:vertAlign w:val="superscript"/>
        </w:rPr>
        <w:footnoteReference w:id="40"/>
      </w:r>
      <w:r w:rsidRPr="00BF38AF">
        <w:rPr>
          <w:rFonts w:ascii="Garamond" w:hAnsi="Garamond"/>
          <w:sz w:val="30"/>
          <w:szCs w:val="30"/>
        </w:rPr>
        <w:t xml:space="preserve"> The European Convention on Human Rights is one of the basic foundations in guaranteeing rights for refugees. In addition, member states in the European Union have also provided guarantees of human rights for refugees and are regulated in the Constitution.</w:t>
      </w:r>
      <w:r w:rsidRPr="00BF38AF">
        <w:rPr>
          <w:rFonts w:ascii="Garamond" w:hAnsi="Garamond"/>
          <w:sz w:val="30"/>
          <w:szCs w:val="30"/>
          <w:vertAlign w:val="superscript"/>
        </w:rPr>
        <w:footnoteReference w:id="41"/>
      </w:r>
    </w:p>
    <w:p w14:paraId="00288198" w14:textId="77777777" w:rsidR="00BF38AF" w:rsidRPr="00BF38AF"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t>In September 2015, the Council of the European Union, one of the EU's organs, issued two important decisions: the first decision</w:t>
      </w:r>
      <w:r w:rsidRPr="00BF38AF">
        <w:rPr>
          <w:rFonts w:ascii="Garamond" w:hAnsi="Garamond"/>
          <w:sz w:val="30"/>
          <w:szCs w:val="30"/>
          <w:vertAlign w:val="superscript"/>
          <w:lang w:val="en-MY"/>
        </w:rPr>
        <w:footnoteReference w:id="42"/>
      </w:r>
      <w:r w:rsidRPr="00BF38AF">
        <w:rPr>
          <w:rFonts w:ascii="Garamond" w:hAnsi="Garamond"/>
          <w:sz w:val="30"/>
          <w:szCs w:val="30"/>
          <w:lang w:val="en-MY"/>
        </w:rPr>
        <w:t xml:space="preserve"> relating to the relocation of about 160,000 refugees residing in Italy and Greece to other EU countries; and the second decision</w:t>
      </w:r>
      <w:r w:rsidRPr="00BF38AF">
        <w:rPr>
          <w:rFonts w:ascii="Garamond" w:hAnsi="Garamond"/>
          <w:sz w:val="30"/>
          <w:szCs w:val="30"/>
          <w:vertAlign w:val="superscript"/>
          <w:lang w:val="en-MY"/>
        </w:rPr>
        <w:footnoteReference w:id="43"/>
      </w:r>
      <w:r w:rsidRPr="00BF38AF">
        <w:rPr>
          <w:rFonts w:ascii="Garamond" w:hAnsi="Garamond"/>
          <w:sz w:val="30"/>
          <w:szCs w:val="30"/>
          <w:lang w:val="en-MY"/>
        </w:rPr>
        <w:t xml:space="preserve"> on the distribution of refugees to all EU Member States based on the total population of each EU Member State, the country's total GDP, the average of asylum applications filed spontaneously between 2010-2014 and the unemployment rate of EU member states.</w:t>
      </w:r>
    </w:p>
    <w:p w14:paraId="2D0053CD" w14:textId="77777777" w:rsidR="00BF38AF" w:rsidRPr="00BF38AF"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t>Although both decisions are binding decisions and must be obeyed by EU member states, some EU member states such as Hungary, Czech Republic and Slovakia refuse to implement on a national security basis. The countries of Estonia, Latvia, Lithuania, Luxembourg, Malta and Finland are EU member states that comply with and carry out relocation of refugees residing in Greece and Italy. The compliance of EU member states in implementing the decision is at least motivated by the political support factor of its government, the process of acceptance of refugees that is easy and good, and a good perception related to the relocation of refugees.</w:t>
      </w:r>
    </w:p>
    <w:p w14:paraId="009BA011" w14:textId="77777777" w:rsidR="00BF38AF" w:rsidRPr="00BF38AF"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t>Germany became the country receiving the most asylum seekers by 2015 with 890,000 applications. The Swedish state also receives asylum seekers in the European Union at a significant amount - signalling that it is committed to implementing the Council of European Union's decision to relocate refugees residing in Italy and Greece.</w:t>
      </w:r>
      <w:r w:rsidRPr="00BF38AF">
        <w:rPr>
          <w:rFonts w:ascii="Garamond" w:hAnsi="Garamond"/>
          <w:sz w:val="30"/>
          <w:szCs w:val="30"/>
          <w:vertAlign w:val="superscript"/>
          <w:lang w:val="en-MY"/>
        </w:rPr>
        <w:footnoteReference w:id="44"/>
      </w:r>
      <w:r w:rsidRPr="00BF38AF">
        <w:rPr>
          <w:rFonts w:ascii="Garamond" w:hAnsi="Garamond"/>
          <w:sz w:val="30"/>
          <w:szCs w:val="30"/>
          <w:lang w:val="en-MY"/>
        </w:rPr>
        <w:t xml:space="preserve"> The number of asylum applications in Sweden increased 60% from November 2014 to November 2015.</w:t>
      </w:r>
    </w:p>
    <w:p w14:paraId="6D585DB3" w14:textId="77777777" w:rsidR="00BF38AF" w:rsidRPr="00BF38AF"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lastRenderedPageBreak/>
        <w:t>Related to security reasons, the EU already has a good inter-state security system. Where there is an asylum seeker who has been denied an appeal and has committed a crime then the data is directly inputted into the Europol security system which is accessible to the security apparatus between EU Member States.</w:t>
      </w:r>
      <w:r w:rsidRPr="00BF38AF">
        <w:rPr>
          <w:rFonts w:ascii="Garamond" w:hAnsi="Garamond"/>
          <w:sz w:val="30"/>
          <w:szCs w:val="30"/>
          <w:vertAlign w:val="superscript"/>
          <w:lang w:val="en-MY"/>
        </w:rPr>
        <w:footnoteReference w:id="45"/>
      </w:r>
      <w:r w:rsidRPr="00BF38AF">
        <w:rPr>
          <w:rFonts w:ascii="Garamond" w:hAnsi="Garamond"/>
          <w:sz w:val="30"/>
          <w:szCs w:val="30"/>
          <w:lang w:val="en-MY"/>
        </w:rPr>
        <w:t xml:space="preserve"> Europol is the special body of the European Union established in 1999 to enhance the effectiveness and cooperation between the competent authorities of EU Member States and collect intelligence data to prevent and combat international organized crime. Europol has an obligation to inform all forms of information and events related to security threats in the Schengen Area. This obligation as a form of respect for the principle of duty of sincere cooperation which has become the basis for establishing Europol.</w:t>
      </w:r>
    </w:p>
    <w:p w14:paraId="720F9EB3" w14:textId="77777777" w:rsidR="00BF38AF" w:rsidRPr="00BF38AF"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t>The uniqueness that may be appropriate for Indonesia and ASEAN to emulate is related to the determination of the quota sharing system carried out by the European Union. This quota sharing system is a regional commitment to jointly overcome problems in determining the number of refugees allocated to each member country by adjusting their domestic resources. This system actually produces a sense of justice for EU member states and is very effective in avoiding the concentration of refugees in certain countries considering that most refugees always have a target to live in western European countries.</w:t>
      </w:r>
    </w:p>
    <w:p w14:paraId="00000025" w14:textId="0F95F068" w:rsidR="00DA62DD" w:rsidRDefault="00BF38AF" w:rsidP="00BF38AF">
      <w:pPr>
        <w:spacing w:before="120" w:after="120" w:line="276" w:lineRule="auto"/>
        <w:ind w:left="1" w:hanging="3"/>
        <w:jc w:val="both"/>
        <w:rPr>
          <w:rFonts w:ascii="Garamond" w:hAnsi="Garamond"/>
          <w:sz w:val="30"/>
          <w:szCs w:val="30"/>
          <w:lang w:val="en-MY"/>
        </w:rPr>
      </w:pPr>
      <w:r w:rsidRPr="00BF38AF">
        <w:rPr>
          <w:rFonts w:ascii="Garamond" w:hAnsi="Garamond"/>
          <w:sz w:val="30"/>
          <w:szCs w:val="30"/>
          <w:lang w:val="en-MY"/>
        </w:rPr>
        <w:t>As part of ASEAN, of course, Indonesia really needs to initiate a regional scheme that is particularistic and effective in providing protection for refugees. The scheme can, of course, refer to the best practices that have been implemented by the European Union, but it is still necessary to adapt it to the regional situation.</w:t>
      </w:r>
      <w:r w:rsidRPr="00BF38AF">
        <w:rPr>
          <w:rFonts w:ascii="Garamond" w:hAnsi="Garamond"/>
          <w:sz w:val="30"/>
          <w:szCs w:val="30"/>
          <w:vertAlign w:val="superscript"/>
          <w:lang w:val="en-MY"/>
        </w:rPr>
        <w:footnoteReference w:id="46"/>
      </w:r>
      <w:r w:rsidRPr="00BF38AF">
        <w:rPr>
          <w:rFonts w:ascii="Garamond" w:hAnsi="Garamond"/>
          <w:sz w:val="30"/>
          <w:szCs w:val="30"/>
          <w:lang w:val="en-MY"/>
        </w:rPr>
        <w:t xml:space="preserve"> ASEAN countries that have a pillar of mutual cooperation can be a marker in formulating regional policies for refugees. This mutual cooperation can be done by providing space for people in areas that are often refugee destinations to be actively involved in providing education, accelerating social integration, carrying out communal monitoring, as well as opportunities for refugees to participate in developing their territory. </w:t>
      </w:r>
    </w:p>
    <w:p w14:paraId="063483C0" w14:textId="77777777" w:rsidR="00BF38AF" w:rsidRPr="00BF38AF" w:rsidRDefault="00BF38AF" w:rsidP="00BF38AF">
      <w:pPr>
        <w:spacing w:before="120" w:after="120" w:line="276" w:lineRule="auto"/>
        <w:ind w:left="1" w:hanging="3"/>
        <w:jc w:val="both"/>
        <w:rPr>
          <w:rFonts w:ascii="Garamond" w:hAnsi="Garamond"/>
          <w:sz w:val="30"/>
          <w:szCs w:val="30"/>
          <w:lang w:val="en-MY"/>
        </w:rPr>
      </w:pPr>
    </w:p>
    <w:p w14:paraId="00000026" w14:textId="27AF188B" w:rsidR="00DA62DD" w:rsidRPr="009B6FAA" w:rsidRDefault="00117F6F" w:rsidP="00A07DFD">
      <w:pPr>
        <w:tabs>
          <w:tab w:val="left" w:pos="425"/>
        </w:tabs>
        <w:spacing w:before="120" w:after="120" w:line="276" w:lineRule="auto"/>
        <w:ind w:left="1" w:hanging="3"/>
        <w:jc w:val="center"/>
        <w:rPr>
          <w:rFonts w:ascii="Adobe Caslon Pro" w:hAnsi="Adobe Caslon Pro"/>
          <w:color w:val="3C4B92"/>
          <w:sz w:val="30"/>
          <w:szCs w:val="30"/>
        </w:rPr>
      </w:pPr>
      <w:r w:rsidRPr="009B6FAA">
        <w:rPr>
          <w:rFonts w:ascii="Adobe Caslon Pro" w:hAnsi="Adobe Caslon Pro"/>
          <w:b/>
          <w:color w:val="3C4B92"/>
          <w:sz w:val="30"/>
          <w:szCs w:val="30"/>
        </w:rPr>
        <w:lastRenderedPageBreak/>
        <w:t>V</w:t>
      </w:r>
      <w:r w:rsidR="00BF38AF">
        <w:rPr>
          <w:rFonts w:ascii="Adobe Caslon Pro" w:hAnsi="Adobe Caslon Pro"/>
          <w:b/>
          <w:color w:val="3C4B92"/>
          <w:sz w:val="30"/>
          <w:szCs w:val="30"/>
        </w:rPr>
        <w:t>I</w:t>
      </w:r>
      <w:r w:rsidRPr="009B6FAA">
        <w:rPr>
          <w:rFonts w:ascii="Adobe Caslon Pro" w:hAnsi="Adobe Caslon Pro"/>
          <w:b/>
          <w:color w:val="3C4B92"/>
          <w:sz w:val="30"/>
          <w:szCs w:val="30"/>
        </w:rPr>
        <w:t xml:space="preserve">. </w:t>
      </w:r>
      <w:r w:rsidR="000D5A39" w:rsidRPr="009B6FAA">
        <w:rPr>
          <w:rFonts w:ascii="Adobe Caslon Pro" w:hAnsi="Adobe Caslon Pro"/>
          <w:b/>
          <w:color w:val="3C4B92"/>
          <w:sz w:val="30"/>
          <w:szCs w:val="30"/>
        </w:rPr>
        <w:t>CONCLUSION</w:t>
      </w:r>
    </w:p>
    <w:p w14:paraId="016E07BB" w14:textId="77777777"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t>The principle of non-refoulment has been accepted as the highest norm in international law (jus cogens). The principle set forth in Article 33 of the 1951 Refugee Convention has an open regulatory character which provides an opportunity for the state or international organization to develop policies in terms of addressing refugee issues but must be in line with the rules of human rights automatically attached to refugees. For this reason, because it has a level as the norm of jus cogens, this principle remains binding mainly to non-participating countries of the 1951 Refugee Convention.</w:t>
      </w:r>
    </w:p>
    <w:p w14:paraId="752B3B57" w14:textId="77777777"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t>Indonesia has just passed Presidential Regulation No. 125 of 2016 on the Handling of Refugees from Abroad. It is hoped that this regulation will bring solid, integrated, and well-coordinated cooperation at the level of Central Government and Local Government in handling refugee problem in Indonesia. However, Indonesia still must ratify the 1951 Refugee Convention. Some of the benefits of such ratification include: The Indonesian government may determine for itself the status of refugees and asylum seekers through national authorities and designated in accordance with the laws and regulations of the Government of Indonesia can get immediate assistance and international cooperation to deal with refugees residing in Indonesia, and to prevent the occurrence of human rights violations to refugees in the border areas of Indonesia.</w:t>
      </w:r>
    </w:p>
    <w:p w14:paraId="16907178" w14:textId="77777777" w:rsidR="00BF38AF" w:rsidRPr="00BF38AF" w:rsidRDefault="00BF38AF" w:rsidP="00BF38AF">
      <w:pPr>
        <w:spacing w:before="120" w:after="120" w:line="276" w:lineRule="auto"/>
        <w:ind w:left="1" w:hanging="3"/>
        <w:jc w:val="both"/>
        <w:rPr>
          <w:rFonts w:ascii="Garamond" w:hAnsi="Garamond"/>
          <w:sz w:val="30"/>
          <w:szCs w:val="30"/>
        </w:rPr>
      </w:pPr>
      <w:proofErr w:type="gramStart"/>
      <w:r w:rsidRPr="00BF38AF">
        <w:rPr>
          <w:rFonts w:ascii="Garamond" w:hAnsi="Garamond"/>
          <w:sz w:val="30"/>
          <w:szCs w:val="30"/>
        </w:rPr>
        <w:t>At the moment</w:t>
      </w:r>
      <w:proofErr w:type="gramEnd"/>
      <w:r w:rsidRPr="00BF38AF">
        <w:rPr>
          <w:rFonts w:ascii="Garamond" w:hAnsi="Garamond"/>
          <w:sz w:val="30"/>
          <w:szCs w:val="30"/>
        </w:rPr>
        <w:t xml:space="preserve">, Indonesia uses a very careful approach in dealing with refugees which in line with international law and customs, including the principle of non-refoulement. Even though the Presidential Regulation regulates the process of their repatriation either voluntarily, deportation, or resettlement into a third country. In practice, they still </w:t>
      </w:r>
      <w:proofErr w:type="gramStart"/>
      <w:r w:rsidRPr="00BF38AF">
        <w:rPr>
          <w:rFonts w:ascii="Garamond" w:hAnsi="Garamond"/>
          <w:sz w:val="30"/>
          <w:szCs w:val="30"/>
        </w:rPr>
        <w:t>have to</w:t>
      </w:r>
      <w:proofErr w:type="gramEnd"/>
      <w:r w:rsidRPr="00BF38AF">
        <w:rPr>
          <w:rFonts w:ascii="Garamond" w:hAnsi="Garamond"/>
          <w:sz w:val="30"/>
          <w:szCs w:val="30"/>
        </w:rPr>
        <w:t xml:space="preserve"> determine at the situation of the country of origin before they are repatriated, and the financial allocations owned by the Government and/or the refugees.</w:t>
      </w:r>
    </w:p>
    <w:p w14:paraId="3E5DC729" w14:textId="77777777"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t>An integrated and comprehensive statutory law is necessary being legislated to overcome the refugee issues in Indonesia. This law is deemed to be higher than the Presidential Regulation in which providing more power to coordinate all relevant authorities as well as access to bigger state financial allocation for infrastructures and refugee’s living support.</w:t>
      </w:r>
    </w:p>
    <w:p w14:paraId="2EAE3D12" w14:textId="77777777"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lastRenderedPageBreak/>
        <w:t xml:space="preserve">In the regional context, Indonesia should encourage ASEAN to strengthen its role in overcoming the issue of refugees in its territory. In addition to encouraging its member states to ratify the 1951 Convention, ASEAN can also take the practice that has been done by the European Union to ensure that existing refugees can be jointly provided with protection. The tradition of overcoming problems in </w:t>
      </w:r>
      <w:proofErr w:type="gramStart"/>
      <w:r w:rsidRPr="00BF38AF">
        <w:rPr>
          <w:rFonts w:ascii="Garamond" w:hAnsi="Garamond"/>
          <w:sz w:val="30"/>
          <w:szCs w:val="30"/>
        </w:rPr>
        <w:t>mutual cooperation</w:t>
      </w:r>
      <w:proofErr w:type="gramEnd"/>
      <w:r w:rsidRPr="00BF38AF">
        <w:rPr>
          <w:rFonts w:ascii="Garamond" w:hAnsi="Garamond"/>
          <w:sz w:val="30"/>
          <w:szCs w:val="30"/>
        </w:rPr>
        <w:t xml:space="preserve"> needs to be realized in all policies taken by ASEAN to address the issue of refugees.</w:t>
      </w:r>
    </w:p>
    <w:p w14:paraId="2729960C" w14:textId="77777777" w:rsidR="00BF38AF" w:rsidRPr="009B6FAA" w:rsidRDefault="00BF38AF" w:rsidP="00A07DFD">
      <w:pPr>
        <w:spacing w:before="120" w:after="120" w:line="276" w:lineRule="auto"/>
        <w:ind w:left="1" w:hanging="3"/>
        <w:jc w:val="both"/>
        <w:rPr>
          <w:rFonts w:ascii="Garamond" w:hAnsi="Garamond"/>
          <w:sz w:val="30"/>
          <w:szCs w:val="30"/>
        </w:rPr>
      </w:pPr>
    </w:p>
    <w:p w14:paraId="00000029" w14:textId="77777777" w:rsidR="00DA62DD" w:rsidRPr="009B6FAA" w:rsidRDefault="00DA62DD" w:rsidP="00A07DFD">
      <w:pPr>
        <w:spacing w:before="120" w:after="120" w:line="276" w:lineRule="auto"/>
        <w:ind w:left="1" w:hanging="3"/>
        <w:jc w:val="both"/>
        <w:rPr>
          <w:rFonts w:ascii="Garamond" w:hAnsi="Garamond"/>
          <w:sz w:val="30"/>
          <w:szCs w:val="30"/>
        </w:rPr>
      </w:pPr>
    </w:p>
    <w:p w14:paraId="0000002A" w14:textId="77777777" w:rsidR="00DA62DD" w:rsidRPr="009B6FAA" w:rsidRDefault="000D5A39" w:rsidP="00A07DFD">
      <w:pPr>
        <w:spacing w:before="120" w:after="120" w:line="276" w:lineRule="auto"/>
        <w:ind w:left="1" w:hanging="3"/>
        <w:rPr>
          <w:rFonts w:ascii="Adobe Caslon Pro" w:hAnsi="Adobe Caslon Pro"/>
          <w:color w:val="3C4B92"/>
          <w:sz w:val="30"/>
          <w:szCs w:val="30"/>
        </w:rPr>
      </w:pPr>
      <w:r w:rsidRPr="009B6FAA">
        <w:rPr>
          <w:rFonts w:ascii="Adobe Caslon Pro" w:hAnsi="Adobe Caslon Pro"/>
          <w:b/>
          <w:color w:val="3C4B92"/>
          <w:sz w:val="30"/>
          <w:szCs w:val="30"/>
        </w:rPr>
        <w:t>ACKNOWLEDGMENTS</w:t>
      </w:r>
    </w:p>
    <w:p w14:paraId="6C58C91E" w14:textId="77777777" w:rsidR="00BF38AF" w:rsidRPr="00BF38AF" w:rsidRDefault="00BF38AF" w:rsidP="00BF38AF">
      <w:pPr>
        <w:spacing w:before="120" w:after="120" w:line="276" w:lineRule="auto"/>
        <w:ind w:left="1" w:hanging="3"/>
        <w:jc w:val="both"/>
        <w:rPr>
          <w:rFonts w:ascii="Garamond" w:hAnsi="Garamond"/>
          <w:sz w:val="30"/>
          <w:szCs w:val="30"/>
        </w:rPr>
      </w:pPr>
      <w:r w:rsidRPr="00BF38AF">
        <w:rPr>
          <w:rFonts w:ascii="Garamond" w:hAnsi="Garamond"/>
          <w:sz w:val="30"/>
          <w:szCs w:val="30"/>
        </w:rPr>
        <w:t xml:space="preserve">We would like to appreciate DPPM UII, a research center in Universitas Islam Indonesia for the research grant that supported this research with research grant No. F-DPPM-030. Corresponding author in this research is </w:t>
      </w:r>
      <w:proofErr w:type="spellStart"/>
      <w:r w:rsidRPr="00BF38AF">
        <w:rPr>
          <w:rFonts w:ascii="Garamond" w:hAnsi="Garamond"/>
          <w:sz w:val="30"/>
          <w:szCs w:val="30"/>
        </w:rPr>
        <w:t>Dodik</w:t>
      </w:r>
      <w:proofErr w:type="spellEnd"/>
      <w:r w:rsidRPr="00BF38AF">
        <w:rPr>
          <w:rFonts w:ascii="Garamond" w:hAnsi="Garamond"/>
          <w:sz w:val="30"/>
          <w:szCs w:val="30"/>
        </w:rPr>
        <w:t xml:space="preserve"> Setiawan Nur </w:t>
      </w:r>
      <w:proofErr w:type="spellStart"/>
      <w:r w:rsidRPr="00BF38AF">
        <w:rPr>
          <w:rFonts w:ascii="Garamond" w:hAnsi="Garamond"/>
          <w:sz w:val="30"/>
          <w:szCs w:val="30"/>
        </w:rPr>
        <w:t>Heriyanto</w:t>
      </w:r>
      <w:proofErr w:type="spellEnd"/>
      <w:r w:rsidRPr="00BF38AF">
        <w:rPr>
          <w:rFonts w:ascii="Garamond" w:hAnsi="Garamond"/>
          <w:sz w:val="30"/>
          <w:szCs w:val="30"/>
        </w:rPr>
        <w:t>, Faculty of Law, Universitas Islam Indonesia, email: dodiksetiawan@uii.ac.id.</w:t>
      </w:r>
    </w:p>
    <w:p w14:paraId="0000002D" w14:textId="77777777" w:rsidR="00DA62DD" w:rsidRPr="009B6FAA" w:rsidRDefault="00DA62DD" w:rsidP="00BF38AF">
      <w:pPr>
        <w:spacing w:before="120" w:after="120" w:line="276" w:lineRule="auto"/>
        <w:ind w:leftChars="0" w:left="0" w:firstLineChars="0" w:firstLine="0"/>
        <w:jc w:val="both"/>
        <w:rPr>
          <w:rFonts w:ascii="Garamond" w:hAnsi="Garamond"/>
          <w:b/>
          <w:sz w:val="30"/>
          <w:szCs w:val="30"/>
        </w:rPr>
      </w:pPr>
    </w:p>
    <w:p w14:paraId="0000002E" w14:textId="77777777" w:rsidR="00DA62DD" w:rsidRPr="009B6FAA" w:rsidRDefault="000D5A39" w:rsidP="00A07DFD">
      <w:pPr>
        <w:spacing w:before="120" w:after="120" w:line="276" w:lineRule="auto"/>
        <w:ind w:left="1" w:hanging="3"/>
        <w:jc w:val="both"/>
        <w:rPr>
          <w:rFonts w:ascii="Adobe Caslon Pro" w:hAnsi="Adobe Caslon Pro"/>
          <w:b/>
          <w:color w:val="3C4B92"/>
          <w:sz w:val="30"/>
          <w:szCs w:val="30"/>
        </w:rPr>
      </w:pPr>
      <w:r w:rsidRPr="009B6FAA">
        <w:rPr>
          <w:rFonts w:ascii="Adobe Caslon Pro" w:hAnsi="Adobe Caslon Pro"/>
          <w:b/>
          <w:color w:val="3C4B92"/>
          <w:sz w:val="30"/>
          <w:szCs w:val="30"/>
        </w:rPr>
        <w:t>COMPETING INTEREST</w:t>
      </w:r>
    </w:p>
    <w:p w14:paraId="00000031" w14:textId="52F2FE1D" w:rsidR="00DA62DD" w:rsidRPr="009B6FAA" w:rsidRDefault="000D5A39" w:rsidP="00117F6F">
      <w:pPr>
        <w:spacing w:before="120" w:after="120" w:line="276" w:lineRule="auto"/>
        <w:ind w:left="1" w:hanging="3"/>
        <w:jc w:val="both"/>
        <w:rPr>
          <w:rFonts w:ascii="Garamond" w:hAnsi="Garamond"/>
          <w:sz w:val="30"/>
          <w:szCs w:val="30"/>
        </w:rPr>
      </w:pPr>
      <w:r w:rsidRPr="009B6FAA">
        <w:rPr>
          <w:rFonts w:ascii="Garamond" w:hAnsi="Garamond"/>
          <w:sz w:val="30"/>
          <w:szCs w:val="30"/>
        </w:rPr>
        <w:t xml:space="preserve">The authors </w:t>
      </w:r>
      <w:r w:rsidR="008B16D9">
        <w:rPr>
          <w:rFonts w:ascii="Garamond" w:hAnsi="Garamond"/>
          <w:sz w:val="30"/>
          <w:szCs w:val="30"/>
        </w:rPr>
        <w:t xml:space="preserve">declared </w:t>
      </w:r>
      <w:r w:rsidR="00FA64CC">
        <w:rPr>
          <w:rFonts w:ascii="Garamond" w:hAnsi="Garamond"/>
          <w:sz w:val="30"/>
          <w:szCs w:val="30"/>
        </w:rPr>
        <w:t>they have</w:t>
      </w:r>
      <w:r w:rsidR="008B16D9">
        <w:rPr>
          <w:rFonts w:ascii="Garamond" w:hAnsi="Garamond"/>
          <w:sz w:val="30"/>
          <w:szCs w:val="30"/>
        </w:rPr>
        <w:t xml:space="preserve"> no competing interests. </w:t>
      </w:r>
    </w:p>
    <w:p w14:paraId="5050BE1E" w14:textId="449A5406" w:rsidR="00117F6F" w:rsidRPr="009B6FAA" w:rsidRDefault="00117F6F" w:rsidP="00117F6F">
      <w:pPr>
        <w:spacing w:before="120" w:after="120" w:line="276" w:lineRule="auto"/>
        <w:ind w:left="1" w:hanging="3"/>
        <w:jc w:val="both"/>
        <w:rPr>
          <w:rFonts w:ascii="Garamond" w:hAnsi="Garamond"/>
          <w:sz w:val="30"/>
          <w:szCs w:val="30"/>
        </w:rPr>
      </w:pPr>
    </w:p>
    <w:p w14:paraId="6F963CD3" w14:textId="2FA037AD" w:rsidR="00117F6F" w:rsidRPr="009B6FAA" w:rsidRDefault="00117F6F" w:rsidP="00117F6F">
      <w:pPr>
        <w:spacing w:before="120" w:after="120" w:line="276" w:lineRule="auto"/>
        <w:ind w:left="1" w:hanging="3"/>
        <w:jc w:val="both"/>
        <w:rPr>
          <w:rFonts w:ascii="Adobe Caslon Pro" w:hAnsi="Adobe Caslon Pro"/>
          <w:b/>
          <w:bCs/>
          <w:color w:val="3C4B92"/>
          <w:sz w:val="30"/>
          <w:szCs w:val="30"/>
        </w:rPr>
      </w:pPr>
      <w:r w:rsidRPr="009B6FAA">
        <w:rPr>
          <w:rFonts w:ascii="Adobe Caslon Pro" w:hAnsi="Adobe Caslon Pro"/>
          <w:b/>
          <w:bCs/>
          <w:color w:val="3C4B92"/>
          <w:sz w:val="30"/>
          <w:szCs w:val="30"/>
        </w:rPr>
        <w:t>REFERENCES</w:t>
      </w:r>
    </w:p>
    <w:p w14:paraId="5DE8FF74"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b/>
          <w:sz w:val="30"/>
          <w:szCs w:val="30"/>
        </w:rPr>
        <w:fldChar w:fldCharType="begin" w:fldLock="1"/>
      </w:r>
      <w:r w:rsidRPr="00BF38AF">
        <w:rPr>
          <w:rFonts w:ascii="Garamond" w:eastAsia="Lustria" w:hAnsi="Garamond"/>
          <w:b/>
          <w:sz w:val="30"/>
          <w:szCs w:val="30"/>
        </w:rPr>
        <w:instrText xml:space="preserve">ADDIN Mendeley Bibliography CSL_BIBLIOGRAPHY </w:instrText>
      </w:r>
      <w:r w:rsidRPr="00BF38AF">
        <w:rPr>
          <w:rFonts w:ascii="Garamond" w:eastAsia="Lustria" w:hAnsi="Garamond"/>
          <w:b/>
          <w:sz w:val="30"/>
          <w:szCs w:val="30"/>
        </w:rPr>
        <w:fldChar w:fldCharType="separate"/>
      </w:r>
    </w:p>
    <w:p w14:paraId="4E9CE067"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A. </w:t>
      </w:r>
      <w:proofErr w:type="spellStart"/>
      <w:r w:rsidRPr="00BF38AF">
        <w:rPr>
          <w:rFonts w:ascii="Garamond" w:eastAsia="Lustria" w:hAnsi="Garamond"/>
          <w:sz w:val="30"/>
          <w:szCs w:val="30"/>
          <w:lang w:val="en-GB"/>
        </w:rPr>
        <w:t>Mansyur</w:t>
      </w:r>
      <w:proofErr w:type="spellEnd"/>
      <w:r w:rsidRPr="00BF38AF">
        <w:rPr>
          <w:rFonts w:ascii="Garamond" w:eastAsia="Lustria" w:hAnsi="Garamond"/>
          <w:sz w:val="30"/>
          <w:szCs w:val="30"/>
          <w:lang w:val="en-GB"/>
        </w:rPr>
        <w:t xml:space="preserve">, E. </w:t>
      </w:r>
      <w:proofErr w:type="spellStart"/>
      <w:r w:rsidRPr="00BF38AF">
        <w:rPr>
          <w:rFonts w:ascii="Garamond" w:eastAsia="Lustria" w:hAnsi="Garamond"/>
          <w:i/>
          <w:iCs/>
          <w:sz w:val="30"/>
          <w:szCs w:val="30"/>
          <w:lang w:val="en-GB"/>
        </w:rPr>
        <w:t>Tempat</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Hak-Hak</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Azasi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Manusia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dalam</w:t>
      </w:r>
      <w:proofErr w:type="spellEnd"/>
      <w:r w:rsidRPr="00BF38AF">
        <w:rPr>
          <w:rFonts w:ascii="Garamond" w:eastAsia="Lustria" w:hAnsi="Garamond"/>
          <w:i/>
          <w:iCs/>
          <w:sz w:val="30"/>
          <w:szCs w:val="30"/>
          <w:lang w:val="en-GB"/>
        </w:rPr>
        <w:t xml:space="preserve"> Hukum </w:t>
      </w:r>
      <w:proofErr w:type="spellStart"/>
      <w:r w:rsidRPr="00BF38AF">
        <w:rPr>
          <w:rFonts w:ascii="Garamond" w:eastAsia="Lustria" w:hAnsi="Garamond"/>
          <w:i/>
          <w:iCs/>
          <w:sz w:val="30"/>
          <w:szCs w:val="30"/>
          <w:lang w:val="en-GB"/>
        </w:rPr>
        <w:t>Internasional</w:t>
      </w:r>
      <w:proofErr w:type="spellEnd"/>
      <w:r w:rsidRPr="00BF38AF">
        <w:rPr>
          <w:rFonts w:ascii="Garamond" w:eastAsia="Lustria" w:hAnsi="Garamond"/>
          <w:i/>
          <w:iCs/>
          <w:sz w:val="30"/>
          <w:szCs w:val="30"/>
          <w:lang w:val="en-GB"/>
        </w:rPr>
        <w:t>/Nasional</w:t>
      </w:r>
      <w:r w:rsidRPr="00BF38AF">
        <w:rPr>
          <w:rFonts w:ascii="Garamond" w:eastAsia="Lustria" w:hAnsi="Garamond"/>
          <w:sz w:val="30"/>
          <w:szCs w:val="30"/>
          <w:lang w:val="en-GB"/>
        </w:rPr>
        <w:t>. Alumni, 1980</w:t>
      </w:r>
    </w:p>
    <w:p w14:paraId="531DCADF" w14:textId="68CFC2E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A. </w:t>
      </w:r>
      <w:proofErr w:type="spellStart"/>
      <w:r w:rsidRPr="00BF38AF">
        <w:rPr>
          <w:rFonts w:ascii="Garamond" w:eastAsia="Lustria" w:hAnsi="Garamond"/>
          <w:sz w:val="30"/>
          <w:szCs w:val="30"/>
          <w:lang w:val="en-GB"/>
        </w:rPr>
        <w:t>Mansyur</w:t>
      </w:r>
      <w:proofErr w:type="spellEnd"/>
      <w:r w:rsidRPr="00BF38AF">
        <w:rPr>
          <w:rFonts w:ascii="Garamond" w:eastAsia="Lustria" w:hAnsi="Garamond"/>
          <w:sz w:val="30"/>
          <w:szCs w:val="30"/>
          <w:lang w:val="en-GB"/>
        </w:rPr>
        <w:t xml:space="preserve">, E.  &amp; </w:t>
      </w:r>
      <w:proofErr w:type="spellStart"/>
      <w:r w:rsidRPr="00BF38AF">
        <w:rPr>
          <w:rFonts w:ascii="Garamond" w:eastAsia="Lustria" w:hAnsi="Garamond"/>
          <w:sz w:val="30"/>
          <w:szCs w:val="30"/>
          <w:lang w:val="en-GB"/>
        </w:rPr>
        <w:t>Evandri</w:t>
      </w:r>
      <w:proofErr w:type="spellEnd"/>
      <w:r w:rsidRPr="00BF38AF">
        <w:rPr>
          <w:rFonts w:ascii="Garamond" w:eastAsia="Lustria" w:hAnsi="Garamond"/>
          <w:sz w:val="30"/>
          <w:szCs w:val="30"/>
          <w:lang w:val="en-GB"/>
        </w:rPr>
        <w:t xml:space="preserve">, T. S. </w:t>
      </w:r>
      <w:r w:rsidRPr="00BF38AF">
        <w:rPr>
          <w:rFonts w:ascii="Garamond" w:eastAsia="Lustria" w:hAnsi="Garamond"/>
          <w:i/>
          <w:iCs/>
          <w:sz w:val="30"/>
          <w:szCs w:val="30"/>
          <w:lang w:val="en-GB"/>
        </w:rPr>
        <w:t xml:space="preserve">HAM </w:t>
      </w:r>
      <w:proofErr w:type="spellStart"/>
      <w:r w:rsidRPr="00BF38AF">
        <w:rPr>
          <w:rFonts w:ascii="Garamond" w:eastAsia="Lustria" w:hAnsi="Garamond"/>
          <w:i/>
          <w:iCs/>
          <w:sz w:val="30"/>
          <w:szCs w:val="30"/>
          <w:lang w:val="en-GB"/>
        </w:rPr>
        <w:t>dalam</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Dimensi</w:t>
      </w:r>
      <w:proofErr w:type="spellEnd"/>
      <w:r w:rsidRPr="00BF38AF">
        <w:rPr>
          <w:rFonts w:ascii="Garamond" w:eastAsia="Lustria" w:hAnsi="Garamond"/>
          <w:i/>
          <w:iCs/>
          <w:sz w:val="30"/>
          <w:szCs w:val="30"/>
          <w:lang w:val="en-GB"/>
        </w:rPr>
        <w:t>/</w:t>
      </w:r>
      <w:proofErr w:type="spellStart"/>
      <w:r w:rsidRPr="00BF38AF">
        <w:rPr>
          <w:rFonts w:ascii="Garamond" w:eastAsia="Lustria" w:hAnsi="Garamond"/>
          <w:i/>
          <w:iCs/>
          <w:sz w:val="30"/>
          <w:szCs w:val="30"/>
          <w:lang w:val="en-GB"/>
        </w:rPr>
        <w:t>Dinamika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Yuridis</w:t>
      </w:r>
      <w:proofErr w:type="spellEnd"/>
      <w:r w:rsidRPr="00BF38AF">
        <w:rPr>
          <w:rFonts w:ascii="Garamond" w:eastAsia="Lustria" w:hAnsi="Garamond"/>
          <w:i/>
          <w:iCs/>
          <w:sz w:val="30"/>
          <w:szCs w:val="30"/>
          <w:lang w:val="en-GB"/>
        </w:rPr>
        <w:t xml:space="preserve">, Sosial, </w:t>
      </w:r>
      <w:proofErr w:type="spellStart"/>
      <w:r w:rsidRPr="00BF38AF">
        <w:rPr>
          <w:rFonts w:ascii="Garamond" w:eastAsia="Lustria" w:hAnsi="Garamond"/>
          <w:i/>
          <w:iCs/>
          <w:sz w:val="30"/>
          <w:szCs w:val="30"/>
          <w:lang w:val="en-GB"/>
        </w:rPr>
        <w:t>Politik</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Ghalia</w:t>
      </w:r>
      <w:proofErr w:type="spellEnd"/>
      <w:r w:rsidRPr="00BF38AF">
        <w:rPr>
          <w:rFonts w:ascii="Garamond" w:eastAsia="Lustria" w:hAnsi="Garamond"/>
          <w:sz w:val="30"/>
          <w:szCs w:val="30"/>
          <w:lang w:val="en-GB"/>
        </w:rPr>
        <w:t xml:space="preserve"> Indonesia, 2007</w:t>
      </w:r>
    </w:p>
    <w:p w14:paraId="38FCA25B"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C., D. </w:t>
      </w:r>
      <w:proofErr w:type="spellStart"/>
      <w:r w:rsidRPr="00BF38AF">
        <w:rPr>
          <w:rFonts w:ascii="Garamond" w:eastAsia="Lustria" w:hAnsi="Garamond"/>
          <w:sz w:val="30"/>
          <w:szCs w:val="30"/>
          <w:lang w:val="en-GB"/>
        </w:rPr>
        <w:t>R.</w:t>
      </w:r>
      <w:r w:rsidRPr="00BF38AF">
        <w:rPr>
          <w:rFonts w:ascii="Garamond" w:eastAsia="Lustria" w:hAnsi="Garamond"/>
          <w:i/>
          <w:iCs/>
          <w:sz w:val="30"/>
          <w:szCs w:val="30"/>
          <w:lang w:val="en-GB"/>
        </w:rPr>
        <w:t>To</w:t>
      </w:r>
      <w:proofErr w:type="spellEnd"/>
      <w:r w:rsidRPr="00BF38AF">
        <w:rPr>
          <w:rFonts w:ascii="Garamond" w:eastAsia="Lustria" w:hAnsi="Garamond"/>
          <w:i/>
          <w:iCs/>
          <w:sz w:val="30"/>
          <w:szCs w:val="30"/>
          <w:lang w:val="en-GB"/>
        </w:rPr>
        <w:t xml:space="preserve"> Serve and To Protect</w:t>
      </w:r>
      <w:r w:rsidRPr="00BF38AF">
        <w:rPr>
          <w:rFonts w:ascii="Garamond" w:eastAsia="Lustria" w:hAnsi="Garamond"/>
          <w:sz w:val="30"/>
          <w:szCs w:val="30"/>
          <w:lang w:val="en-GB"/>
        </w:rPr>
        <w:t xml:space="preserve">. Raja </w:t>
      </w:r>
      <w:proofErr w:type="spellStart"/>
      <w:r w:rsidRPr="00BF38AF">
        <w:rPr>
          <w:rFonts w:ascii="Garamond" w:eastAsia="Lustria" w:hAnsi="Garamond"/>
          <w:sz w:val="30"/>
          <w:szCs w:val="30"/>
          <w:lang w:val="en-GB"/>
        </w:rPr>
        <w:t>Grafindo</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Persada</w:t>
      </w:r>
      <w:proofErr w:type="spellEnd"/>
      <w:r w:rsidRPr="00BF38AF">
        <w:rPr>
          <w:rFonts w:ascii="Garamond" w:eastAsia="Lustria" w:hAnsi="Garamond"/>
          <w:sz w:val="30"/>
          <w:szCs w:val="30"/>
          <w:lang w:val="en-GB"/>
        </w:rPr>
        <w:t>, 2000</w:t>
      </w:r>
    </w:p>
    <w:p w14:paraId="4EED52A0"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Council of the European Union </w:t>
      </w:r>
      <w:r w:rsidRPr="00BF38AF">
        <w:rPr>
          <w:rFonts w:ascii="Garamond" w:eastAsia="Lustria" w:hAnsi="Garamond"/>
          <w:i/>
          <w:iCs/>
          <w:sz w:val="30"/>
          <w:szCs w:val="30"/>
        </w:rPr>
        <w:t xml:space="preserve">“Council Decision (EU)” </w:t>
      </w:r>
      <w:r w:rsidRPr="00BF38AF">
        <w:rPr>
          <w:rFonts w:ascii="Garamond" w:eastAsia="Lustria" w:hAnsi="Garamond"/>
          <w:sz w:val="30"/>
          <w:szCs w:val="30"/>
        </w:rPr>
        <w:t>14 September 2015 establishing provisional measures in the area of international protection for the benefit of Italy and of Greece’, OJ L 239, 15.9.2015.</w:t>
      </w:r>
    </w:p>
    <w:p w14:paraId="0187AE9A"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lastRenderedPageBreak/>
        <w:t>Council of the European Union “</w:t>
      </w:r>
      <w:r w:rsidRPr="00BF38AF">
        <w:rPr>
          <w:rFonts w:ascii="Garamond" w:eastAsia="Lustria" w:hAnsi="Garamond"/>
          <w:i/>
          <w:iCs/>
          <w:sz w:val="30"/>
          <w:szCs w:val="30"/>
        </w:rPr>
        <w:t>Council Decision (EU)”</w:t>
      </w:r>
      <w:r w:rsidRPr="00BF38AF">
        <w:rPr>
          <w:rFonts w:ascii="Garamond" w:eastAsia="Lustria" w:hAnsi="Garamond"/>
          <w:sz w:val="30"/>
          <w:szCs w:val="30"/>
        </w:rPr>
        <w:t xml:space="preserve"> 22 September 2015 establishing provisional measures in the area of international protection for the benefit of Italy and Greece, OJ L248, 24.9.2015.</w:t>
      </w:r>
    </w:p>
    <w:p w14:paraId="4D4201B1"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Convention relating to the Status of Refugees, (1951).</w:t>
      </w:r>
    </w:p>
    <w:p w14:paraId="7847C288"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Crock, M. </w:t>
      </w:r>
      <w:r w:rsidRPr="00BF38AF">
        <w:rPr>
          <w:rFonts w:ascii="Garamond" w:eastAsia="Lustria" w:hAnsi="Garamond"/>
          <w:i/>
          <w:iCs/>
          <w:sz w:val="30"/>
          <w:szCs w:val="30"/>
          <w:lang w:val="en-GB"/>
        </w:rPr>
        <w:t>In the Wake of the Tampa: Conflicting Visions of International Refugee Law in the Management of Refugee Flows</w:t>
      </w:r>
      <w:r w:rsidRPr="00BF38AF">
        <w:rPr>
          <w:rFonts w:ascii="Garamond" w:eastAsia="Lustria" w:hAnsi="Garamond"/>
          <w:sz w:val="30"/>
          <w:szCs w:val="30"/>
          <w:lang w:val="en-GB"/>
        </w:rPr>
        <w:t>, 2003</w:t>
      </w:r>
    </w:p>
    <w:p w14:paraId="73FEE1E6"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Declaration on Territorial Asylum, 1967.</w:t>
      </w:r>
    </w:p>
    <w:p w14:paraId="142D368F"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Donnelly, J. </w:t>
      </w:r>
      <w:r w:rsidRPr="00BF38AF">
        <w:rPr>
          <w:rFonts w:ascii="Garamond" w:eastAsia="Lustria" w:hAnsi="Garamond"/>
          <w:i/>
          <w:iCs/>
          <w:sz w:val="30"/>
          <w:szCs w:val="30"/>
          <w:lang w:val="en-GB"/>
        </w:rPr>
        <w:t>Universal Human Rights in Theory and Practice</w:t>
      </w:r>
      <w:r w:rsidRPr="00BF38AF">
        <w:rPr>
          <w:rFonts w:ascii="Garamond" w:eastAsia="Lustria" w:hAnsi="Garamond"/>
          <w:sz w:val="30"/>
          <w:szCs w:val="30"/>
          <w:lang w:val="en-GB"/>
        </w:rPr>
        <w:t>. Cornell University Press, 2013</w:t>
      </w:r>
    </w:p>
    <w:p w14:paraId="2592C51F"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Durieux, J.-F., &amp; McAdam, J. "Non-Refoulement through Time: The Case for a Derogation Clause to the Refugee Convention in Mass Influx Emergencies" | Kaldor Centre. </w:t>
      </w:r>
      <w:r w:rsidRPr="00BF38AF">
        <w:rPr>
          <w:rFonts w:ascii="Garamond" w:eastAsia="Lustria" w:hAnsi="Garamond"/>
          <w:i/>
          <w:iCs/>
          <w:sz w:val="30"/>
          <w:szCs w:val="30"/>
          <w:lang w:val="en-GB"/>
        </w:rPr>
        <w:t>International Journal of Refugee Law</w:t>
      </w:r>
      <w:r w:rsidRPr="00BF38AF">
        <w:rPr>
          <w:rFonts w:ascii="Garamond" w:eastAsia="Lustria" w:hAnsi="Garamond"/>
          <w:sz w:val="30"/>
          <w:szCs w:val="30"/>
          <w:lang w:val="en-GB"/>
        </w:rPr>
        <w:t xml:space="preserve"> (2004) https://www.kaldorcentre.unsw.edu.au/publication/non-refoulement-through-time-case-derogation-clause-refugee-convention-mass-influx</w:t>
      </w:r>
    </w:p>
    <w:p w14:paraId="0AA10072"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E, </w:t>
      </w:r>
      <w:proofErr w:type="spellStart"/>
      <w:r w:rsidRPr="00BF38AF">
        <w:rPr>
          <w:rFonts w:ascii="Garamond" w:eastAsia="Lustria" w:hAnsi="Garamond"/>
          <w:sz w:val="30"/>
          <w:szCs w:val="30"/>
        </w:rPr>
        <w:t>Tsourdi</w:t>
      </w:r>
      <w:proofErr w:type="spellEnd"/>
      <w:r w:rsidRPr="00BF38AF">
        <w:rPr>
          <w:rFonts w:ascii="Garamond" w:eastAsia="Lustria" w:hAnsi="Garamond"/>
          <w:sz w:val="30"/>
          <w:szCs w:val="30"/>
        </w:rPr>
        <w:t xml:space="preserve"> and P, McDonough. </w:t>
      </w:r>
      <w:r w:rsidRPr="00BF38AF">
        <w:rPr>
          <w:rFonts w:ascii="Garamond" w:eastAsia="Lustria" w:hAnsi="Garamond"/>
          <w:i/>
          <w:iCs/>
          <w:sz w:val="30"/>
          <w:szCs w:val="30"/>
        </w:rPr>
        <w:t>The ‘other’ Greek crisis: Asylum and EU solidarity</w:t>
      </w:r>
      <w:r w:rsidRPr="00BF38AF">
        <w:rPr>
          <w:rFonts w:ascii="Garamond" w:eastAsia="Lustria" w:hAnsi="Garamond"/>
          <w:sz w:val="30"/>
          <w:szCs w:val="30"/>
        </w:rPr>
        <w:t>. Refugee Survey Quarterly 3 Ver 4 2021</w:t>
      </w:r>
    </w:p>
    <w:p w14:paraId="5D9AC225"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Edwars</w:t>
      </w:r>
      <w:proofErr w:type="spellEnd"/>
      <w:r w:rsidRPr="00BF38AF">
        <w:rPr>
          <w:rFonts w:ascii="Garamond" w:eastAsia="Lustria" w:hAnsi="Garamond"/>
          <w:sz w:val="30"/>
          <w:szCs w:val="30"/>
          <w:lang w:val="en-GB"/>
        </w:rPr>
        <w:t xml:space="preserve">, A. </w:t>
      </w:r>
      <w:r w:rsidRPr="00BF38AF">
        <w:rPr>
          <w:rFonts w:ascii="Garamond" w:eastAsia="Lustria" w:hAnsi="Garamond"/>
          <w:i/>
          <w:iCs/>
          <w:sz w:val="30"/>
          <w:szCs w:val="30"/>
          <w:lang w:val="en-GB"/>
        </w:rPr>
        <w:t>UNHCR - UNHCR report shows sharp increase in sea crossings in Bay of Bengal</w:t>
      </w:r>
      <w:r w:rsidRPr="00BF38AF">
        <w:rPr>
          <w:rFonts w:ascii="Garamond" w:eastAsia="Lustria" w:hAnsi="Garamond"/>
          <w:sz w:val="30"/>
          <w:szCs w:val="30"/>
          <w:lang w:val="en-GB"/>
        </w:rPr>
        <w:t>. Briefing Notes, 2015 https://www.unhcr.org/news/briefing/2015/5/554c8adf9/unhcr-report-shows-sharp increase-sea-crossings-bay-bengal.html</w:t>
      </w:r>
    </w:p>
    <w:p w14:paraId="1516F024"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Goodwin-Gill, G. S., &amp; </w:t>
      </w:r>
      <w:proofErr w:type="spellStart"/>
      <w:r w:rsidRPr="00BF38AF">
        <w:rPr>
          <w:rFonts w:ascii="Garamond" w:eastAsia="Lustria" w:hAnsi="Garamond"/>
          <w:sz w:val="30"/>
          <w:szCs w:val="30"/>
          <w:lang w:val="en-GB"/>
        </w:rPr>
        <w:t>Mcadam</w:t>
      </w:r>
      <w:proofErr w:type="spellEnd"/>
      <w:r w:rsidRPr="00BF38AF">
        <w:rPr>
          <w:rFonts w:ascii="Garamond" w:eastAsia="Lustria" w:hAnsi="Garamond"/>
          <w:sz w:val="30"/>
          <w:szCs w:val="30"/>
          <w:lang w:val="en-GB"/>
        </w:rPr>
        <w:t xml:space="preserve">, J. "The Refugee in International Law. In EU Charter of Fundamental Rights-Extracts". </w:t>
      </w:r>
      <w:r w:rsidRPr="00BF38AF">
        <w:rPr>
          <w:rFonts w:ascii="Garamond" w:eastAsia="Lustria" w:hAnsi="Garamond"/>
          <w:i/>
          <w:iCs/>
          <w:sz w:val="30"/>
          <w:szCs w:val="30"/>
          <w:lang w:val="en-GB"/>
        </w:rPr>
        <w:t>Clarendon Press</w:t>
      </w:r>
      <w:r w:rsidRPr="00BF38AF">
        <w:rPr>
          <w:rFonts w:ascii="Garamond" w:eastAsia="Lustria" w:hAnsi="Garamond"/>
          <w:sz w:val="30"/>
          <w:szCs w:val="30"/>
          <w:lang w:val="en-GB"/>
        </w:rPr>
        <w:t xml:space="preserve"> (2000)</w:t>
      </w:r>
    </w:p>
    <w:p w14:paraId="2C0761BB"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Huda, N., </w:t>
      </w:r>
      <w:proofErr w:type="spellStart"/>
      <w:r w:rsidRPr="00BF38AF">
        <w:rPr>
          <w:rFonts w:ascii="Garamond" w:eastAsia="Lustria" w:hAnsi="Garamond"/>
          <w:sz w:val="30"/>
          <w:szCs w:val="30"/>
          <w:lang w:val="en-GB"/>
        </w:rPr>
        <w:t>Heriyanto</w:t>
      </w:r>
      <w:proofErr w:type="spellEnd"/>
      <w:r w:rsidRPr="00BF38AF">
        <w:rPr>
          <w:rFonts w:ascii="Garamond" w:eastAsia="Lustria" w:hAnsi="Garamond"/>
          <w:sz w:val="30"/>
          <w:szCs w:val="30"/>
          <w:lang w:val="en-GB"/>
        </w:rPr>
        <w:t xml:space="preserve">, D. S. N., &amp; </w:t>
      </w:r>
      <w:proofErr w:type="spellStart"/>
      <w:r w:rsidRPr="00BF38AF">
        <w:rPr>
          <w:rFonts w:ascii="Garamond" w:eastAsia="Lustria" w:hAnsi="Garamond"/>
          <w:sz w:val="30"/>
          <w:szCs w:val="30"/>
          <w:lang w:val="en-GB"/>
        </w:rPr>
        <w:t>Wardhana</w:t>
      </w:r>
      <w:proofErr w:type="spellEnd"/>
      <w:r w:rsidRPr="00BF38AF">
        <w:rPr>
          <w:rFonts w:ascii="Garamond" w:eastAsia="Lustria" w:hAnsi="Garamond"/>
          <w:sz w:val="30"/>
          <w:szCs w:val="30"/>
          <w:lang w:val="en-GB"/>
        </w:rPr>
        <w:t xml:space="preserve">, A. F. G.  "The urgency of the constitutional preview of law on the ratification of international treaty by the Constitutional Court in Indonesia". </w:t>
      </w:r>
      <w:proofErr w:type="spellStart"/>
      <w:r w:rsidRPr="00BF38AF">
        <w:rPr>
          <w:rFonts w:ascii="Garamond" w:eastAsia="Lustria" w:hAnsi="Garamond"/>
          <w:i/>
          <w:iCs/>
          <w:sz w:val="30"/>
          <w:szCs w:val="30"/>
          <w:lang w:val="en-GB"/>
        </w:rPr>
        <w:t>Heliyon</w:t>
      </w:r>
      <w:proofErr w:type="spellEnd"/>
      <w:r w:rsidRPr="00BF38AF">
        <w:rPr>
          <w:rFonts w:ascii="Garamond" w:eastAsia="Lustria" w:hAnsi="Garamond"/>
          <w:sz w:val="30"/>
          <w:szCs w:val="30"/>
          <w:lang w:val="en-GB"/>
        </w:rPr>
        <w:t xml:space="preserve">, </w:t>
      </w:r>
      <w:r w:rsidRPr="00BF38AF">
        <w:rPr>
          <w:rFonts w:ascii="Garamond" w:eastAsia="Lustria" w:hAnsi="Garamond"/>
          <w:i/>
          <w:iCs/>
          <w:sz w:val="30"/>
          <w:szCs w:val="30"/>
          <w:lang w:val="en-GB"/>
        </w:rPr>
        <w:t>(2021)</w:t>
      </w:r>
      <w:r w:rsidRPr="00BF38AF">
        <w:rPr>
          <w:rFonts w:ascii="Garamond" w:eastAsia="Lustria" w:hAnsi="Garamond"/>
          <w:sz w:val="30"/>
          <w:szCs w:val="30"/>
          <w:lang w:val="en-GB"/>
        </w:rPr>
        <w:t xml:space="preserve"> https://doi.org/10.1016/J.HELIYON.2021.E07886</w:t>
      </w:r>
    </w:p>
    <w:p w14:paraId="323D15CE"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Hugo, G., Tan, G., &amp; </w:t>
      </w:r>
      <w:proofErr w:type="spellStart"/>
      <w:r w:rsidRPr="00BF38AF">
        <w:rPr>
          <w:rFonts w:ascii="Garamond" w:eastAsia="Lustria" w:hAnsi="Garamond"/>
          <w:sz w:val="30"/>
          <w:szCs w:val="30"/>
          <w:lang w:val="en-GB"/>
        </w:rPr>
        <w:t>Napitupulu</w:t>
      </w:r>
      <w:proofErr w:type="spellEnd"/>
      <w:r w:rsidRPr="00BF38AF">
        <w:rPr>
          <w:rFonts w:ascii="Garamond" w:eastAsia="Lustria" w:hAnsi="Garamond"/>
          <w:sz w:val="30"/>
          <w:szCs w:val="30"/>
          <w:lang w:val="en-GB"/>
        </w:rPr>
        <w:t xml:space="preserve">, C. J. "Indonesia as a transit country in irregular migration to Australia". In M. McAuliffe &amp; K. </w:t>
      </w:r>
      <w:proofErr w:type="spellStart"/>
      <w:r w:rsidRPr="00BF38AF">
        <w:rPr>
          <w:rFonts w:ascii="Garamond" w:eastAsia="Lustria" w:hAnsi="Garamond"/>
          <w:sz w:val="30"/>
          <w:szCs w:val="30"/>
          <w:lang w:val="en-GB"/>
        </w:rPr>
        <w:t>Koser</w:t>
      </w:r>
      <w:proofErr w:type="spellEnd"/>
      <w:r w:rsidRPr="00BF38AF">
        <w:rPr>
          <w:rFonts w:ascii="Garamond" w:eastAsia="Lustria" w:hAnsi="Garamond"/>
          <w:sz w:val="30"/>
          <w:szCs w:val="30"/>
          <w:lang w:val="en-GB"/>
        </w:rPr>
        <w:t xml:space="preserve"> (Eds.), A Long Way to Go: Irregular Migration Patterns, Processes, Drivers and Decision-making.  </w:t>
      </w:r>
      <w:r w:rsidRPr="00BF38AF">
        <w:rPr>
          <w:rFonts w:ascii="Garamond" w:eastAsia="Lustria" w:hAnsi="Garamond"/>
          <w:i/>
          <w:iCs/>
          <w:sz w:val="30"/>
          <w:szCs w:val="30"/>
          <w:lang w:val="en-GB"/>
        </w:rPr>
        <w:t>ANU Press</w:t>
      </w:r>
      <w:r w:rsidRPr="00BF38AF">
        <w:rPr>
          <w:rFonts w:ascii="Garamond" w:eastAsia="Lustria" w:hAnsi="Garamond"/>
          <w:sz w:val="30"/>
          <w:szCs w:val="30"/>
          <w:lang w:val="en-GB"/>
        </w:rPr>
        <w:t>. (2017) https://doi.org/10.22459/LWG.12.2017.07</w:t>
      </w:r>
    </w:p>
    <w:p w14:paraId="6C7A55A0"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lastRenderedPageBreak/>
        <w:t>Huijbers</w:t>
      </w:r>
      <w:proofErr w:type="spellEnd"/>
      <w:r w:rsidRPr="00BF38AF">
        <w:rPr>
          <w:rFonts w:ascii="Garamond" w:eastAsia="Lustria" w:hAnsi="Garamond"/>
          <w:sz w:val="30"/>
          <w:szCs w:val="30"/>
          <w:lang w:val="en-GB"/>
        </w:rPr>
        <w:t xml:space="preserve">, T. </w:t>
      </w:r>
      <w:proofErr w:type="spellStart"/>
      <w:r w:rsidRPr="00BF38AF">
        <w:rPr>
          <w:rFonts w:ascii="Garamond" w:eastAsia="Lustria" w:hAnsi="Garamond"/>
          <w:i/>
          <w:iCs/>
          <w:sz w:val="30"/>
          <w:szCs w:val="30"/>
          <w:lang w:val="en-GB"/>
        </w:rPr>
        <w:t>Filsafat</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hukum</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Kanisius</w:t>
      </w:r>
      <w:proofErr w:type="spellEnd"/>
      <w:r w:rsidRPr="00BF38AF">
        <w:rPr>
          <w:rFonts w:ascii="Garamond" w:eastAsia="Lustria" w:hAnsi="Garamond"/>
          <w:sz w:val="30"/>
          <w:szCs w:val="30"/>
          <w:lang w:val="en-GB"/>
        </w:rPr>
        <w:t>. 1995 https://library.ui.ac.id/detail?id=20229479</w:t>
      </w:r>
    </w:p>
    <w:p w14:paraId="2C33DA81"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Human Rights Watch. (2014). World Report 2015: World Report 2015: Indonesia | </w:t>
      </w:r>
      <w:r w:rsidRPr="00BF38AF">
        <w:rPr>
          <w:rFonts w:ascii="Garamond" w:eastAsia="Lustria" w:hAnsi="Garamond"/>
          <w:i/>
          <w:iCs/>
          <w:sz w:val="30"/>
          <w:szCs w:val="30"/>
          <w:lang w:val="en-GB"/>
        </w:rPr>
        <w:t>Human Rights Watch</w:t>
      </w:r>
      <w:r w:rsidRPr="00BF38AF">
        <w:rPr>
          <w:rFonts w:ascii="Garamond" w:eastAsia="Lustria" w:hAnsi="Garamond"/>
          <w:sz w:val="30"/>
          <w:szCs w:val="30"/>
          <w:lang w:val="en-GB"/>
        </w:rPr>
        <w:t>. (2014) https://www.hrw.org/id/world-report/2015/country-chapters/268176</w:t>
      </w:r>
    </w:p>
    <w:p w14:paraId="5C52589C"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J, Bast. </w:t>
      </w:r>
      <w:r w:rsidRPr="00BF38AF">
        <w:rPr>
          <w:rFonts w:ascii="Garamond" w:eastAsia="Lustria" w:hAnsi="Garamond"/>
          <w:i/>
          <w:iCs/>
          <w:sz w:val="30"/>
          <w:szCs w:val="30"/>
        </w:rPr>
        <w:t>Deepening supranational integration: Interstate solidarity in EU migration Law</w:t>
      </w:r>
      <w:r w:rsidRPr="00BF38AF">
        <w:rPr>
          <w:rFonts w:ascii="Garamond" w:eastAsia="Lustria" w:hAnsi="Garamond"/>
          <w:sz w:val="30"/>
          <w:szCs w:val="30"/>
        </w:rPr>
        <w:t>, European Public Law 2016</w:t>
      </w:r>
    </w:p>
    <w:p w14:paraId="5E1E3907"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J, </w:t>
      </w:r>
      <w:proofErr w:type="spellStart"/>
      <w:r w:rsidRPr="00BF38AF">
        <w:rPr>
          <w:rFonts w:ascii="Garamond" w:eastAsia="Lustria" w:hAnsi="Garamond"/>
          <w:sz w:val="30"/>
          <w:szCs w:val="30"/>
        </w:rPr>
        <w:t>Monar</w:t>
      </w:r>
      <w:proofErr w:type="spellEnd"/>
      <w:r w:rsidRPr="00BF38AF">
        <w:rPr>
          <w:rFonts w:ascii="Garamond" w:eastAsia="Lustria" w:hAnsi="Garamond"/>
          <w:sz w:val="30"/>
          <w:szCs w:val="30"/>
        </w:rPr>
        <w:t xml:space="preserve"> “Justice and Home Affairs” </w:t>
      </w:r>
      <w:r w:rsidRPr="00BF38AF">
        <w:rPr>
          <w:rFonts w:ascii="Garamond" w:eastAsia="Lustria" w:hAnsi="Garamond"/>
          <w:i/>
          <w:iCs/>
          <w:sz w:val="30"/>
          <w:szCs w:val="30"/>
        </w:rPr>
        <w:t>Journal of Common Market Studies</w:t>
      </w:r>
      <w:r w:rsidRPr="00BF38AF">
        <w:rPr>
          <w:rFonts w:ascii="Garamond" w:eastAsia="Lustria" w:hAnsi="Garamond"/>
          <w:sz w:val="30"/>
          <w:szCs w:val="30"/>
        </w:rPr>
        <w:t xml:space="preserve"> 49 S1 (2011)</w:t>
      </w:r>
    </w:p>
    <w:p w14:paraId="487EB203"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Lauterpacht</w:t>
      </w:r>
      <w:proofErr w:type="spellEnd"/>
      <w:r w:rsidRPr="00BF38AF">
        <w:rPr>
          <w:rFonts w:ascii="Garamond" w:eastAsia="Lustria" w:hAnsi="Garamond"/>
          <w:sz w:val="30"/>
          <w:szCs w:val="30"/>
          <w:lang w:val="en-GB"/>
        </w:rPr>
        <w:t xml:space="preserve">, S. E., &amp; Bethlehem, D. "The Scope and Content of the Principle of Non-Refoulement: Opinion." In E. Feller, </w:t>
      </w:r>
      <w:proofErr w:type="spellStart"/>
      <w:r w:rsidRPr="00BF38AF">
        <w:rPr>
          <w:rFonts w:ascii="Garamond" w:eastAsia="Lustria" w:hAnsi="Garamond"/>
          <w:sz w:val="30"/>
          <w:szCs w:val="30"/>
          <w:lang w:val="en-GB"/>
        </w:rPr>
        <w:t>Türk</w:t>
      </w:r>
      <w:proofErr w:type="spellEnd"/>
      <w:r w:rsidRPr="00BF38AF">
        <w:rPr>
          <w:rFonts w:ascii="Garamond" w:eastAsia="Lustria" w:hAnsi="Garamond"/>
          <w:sz w:val="30"/>
          <w:szCs w:val="30"/>
          <w:lang w:val="en-GB"/>
        </w:rPr>
        <w:t xml:space="preserve">. Volker, &amp; F. Nicholson (Eds.), </w:t>
      </w:r>
      <w:r w:rsidRPr="00BF38AF">
        <w:rPr>
          <w:rFonts w:ascii="Garamond" w:eastAsia="Lustria" w:hAnsi="Garamond"/>
          <w:i/>
          <w:iCs/>
          <w:sz w:val="30"/>
          <w:szCs w:val="30"/>
          <w:lang w:val="en-GB"/>
        </w:rPr>
        <w:t>Refugee Protection in International Law: UNHCR’s Global Consultations on International Protection</w:t>
      </w:r>
      <w:r w:rsidRPr="00BF38AF">
        <w:rPr>
          <w:rFonts w:ascii="Garamond" w:eastAsia="Lustria" w:hAnsi="Garamond"/>
          <w:sz w:val="30"/>
          <w:szCs w:val="30"/>
          <w:lang w:val="en-GB"/>
        </w:rPr>
        <w:t xml:space="preserve">. </w:t>
      </w:r>
      <w:r w:rsidRPr="00BF38AF">
        <w:rPr>
          <w:rFonts w:ascii="Garamond" w:eastAsia="Lustria" w:hAnsi="Garamond"/>
          <w:i/>
          <w:iCs/>
          <w:sz w:val="30"/>
          <w:szCs w:val="30"/>
          <w:lang w:val="en-GB"/>
        </w:rPr>
        <w:t>Cambridge University Press</w:t>
      </w:r>
      <w:r w:rsidRPr="00BF38AF">
        <w:rPr>
          <w:rFonts w:ascii="Garamond" w:eastAsia="Lustria" w:hAnsi="Garamond"/>
          <w:sz w:val="30"/>
          <w:szCs w:val="30"/>
          <w:lang w:val="en-GB"/>
        </w:rPr>
        <w:t xml:space="preserve"> (2003)</w:t>
      </w:r>
    </w:p>
    <w:p w14:paraId="3F7FE938"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Loescher</w:t>
      </w:r>
      <w:proofErr w:type="spellEnd"/>
      <w:r w:rsidRPr="00BF38AF">
        <w:rPr>
          <w:rFonts w:ascii="Garamond" w:eastAsia="Lustria" w:hAnsi="Garamond"/>
          <w:sz w:val="30"/>
          <w:szCs w:val="30"/>
          <w:lang w:val="en-GB"/>
        </w:rPr>
        <w:t xml:space="preserve">, G. "Refugee Issues in International Law." </w:t>
      </w:r>
      <w:r w:rsidRPr="00BF38AF">
        <w:rPr>
          <w:rFonts w:ascii="Garamond" w:eastAsia="Lustria" w:hAnsi="Garamond"/>
          <w:i/>
          <w:iCs/>
          <w:sz w:val="30"/>
          <w:szCs w:val="30"/>
          <w:lang w:val="en-GB"/>
        </w:rPr>
        <w:t>Refugees and International Relations</w:t>
      </w:r>
      <w:r w:rsidRPr="00BF38AF">
        <w:rPr>
          <w:rFonts w:ascii="Garamond" w:eastAsia="Lustria" w:hAnsi="Garamond"/>
          <w:sz w:val="30"/>
          <w:szCs w:val="30"/>
          <w:lang w:val="en-GB"/>
        </w:rPr>
        <w:t xml:space="preserve">. </w:t>
      </w:r>
      <w:r w:rsidRPr="00BF38AF">
        <w:rPr>
          <w:rFonts w:ascii="Garamond" w:eastAsia="Lustria" w:hAnsi="Garamond"/>
          <w:i/>
          <w:iCs/>
          <w:sz w:val="30"/>
          <w:szCs w:val="30"/>
          <w:lang w:val="en-GB"/>
        </w:rPr>
        <w:t>Oxford University Press</w:t>
      </w:r>
      <w:r w:rsidRPr="00BF38AF">
        <w:rPr>
          <w:rFonts w:ascii="Garamond" w:eastAsia="Lustria" w:hAnsi="Garamond"/>
          <w:sz w:val="30"/>
          <w:szCs w:val="30"/>
          <w:lang w:val="en-GB"/>
        </w:rPr>
        <w:t xml:space="preserve"> (1989)</w:t>
      </w:r>
    </w:p>
    <w:p w14:paraId="2922D1CD"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Moussalli</w:t>
      </w:r>
      <w:proofErr w:type="spellEnd"/>
      <w:r w:rsidRPr="00BF38AF">
        <w:rPr>
          <w:rFonts w:ascii="Garamond" w:eastAsia="Lustria" w:hAnsi="Garamond"/>
          <w:sz w:val="30"/>
          <w:szCs w:val="30"/>
          <w:lang w:val="en-GB"/>
        </w:rPr>
        <w:t xml:space="preserve">, M. </w:t>
      </w:r>
      <w:r w:rsidRPr="00BF38AF">
        <w:rPr>
          <w:rFonts w:ascii="Garamond" w:eastAsia="Lustria" w:hAnsi="Garamond"/>
          <w:i/>
          <w:iCs/>
          <w:sz w:val="30"/>
          <w:szCs w:val="30"/>
          <w:lang w:val="en-GB"/>
        </w:rPr>
        <w:t>Who is a Refugee?</w:t>
      </w:r>
      <w:r w:rsidRPr="00BF38AF">
        <w:rPr>
          <w:rFonts w:ascii="Garamond" w:eastAsia="Lustria" w:hAnsi="Garamond"/>
          <w:sz w:val="30"/>
          <w:szCs w:val="30"/>
          <w:lang w:val="en-GB"/>
        </w:rPr>
        <w:t xml:space="preserve"> UNHCR.1982</w:t>
      </w:r>
    </w:p>
    <w:p w14:paraId="37D771C0"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Muhyiddin. "Covid-19, New-Normal dan </w:t>
      </w:r>
      <w:proofErr w:type="spellStart"/>
      <w:r w:rsidRPr="00BF38AF">
        <w:rPr>
          <w:rFonts w:ascii="Garamond" w:eastAsia="Lustria" w:hAnsi="Garamond"/>
          <w:sz w:val="30"/>
          <w:szCs w:val="30"/>
          <w:lang w:val="en-GB"/>
        </w:rPr>
        <w:t>Perencanaan</w:t>
      </w:r>
      <w:proofErr w:type="spellEnd"/>
      <w:r w:rsidRPr="00BF38AF">
        <w:rPr>
          <w:rFonts w:ascii="Garamond" w:eastAsia="Lustria" w:hAnsi="Garamond"/>
          <w:sz w:val="30"/>
          <w:szCs w:val="30"/>
          <w:lang w:val="en-GB"/>
        </w:rPr>
        <w:t xml:space="preserve"> Pembangunan Indonesia." </w:t>
      </w:r>
      <w:r w:rsidRPr="00BF38AF">
        <w:rPr>
          <w:rFonts w:ascii="Garamond" w:eastAsia="Lustria" w:hAnsi="Garamond"/>
          <w:i/>
          <w:iCs/>
          <w:sz w:val="30"/>
          <w:szCs w:val="30"/>
          <w:lang w:val="en-GB"/>
        </w:rPr>
        <w:t>The Indonesian Journal of Development Planning</w:t>
      </w:r>
      <w:r w:rsidRPr="00BF38AF">
        <w:rPr>
          <w:rFonts w:ascii="Garamond" w:eastAsia="Lustria" w:hAnsi="Garamond"/>
          <w:sz w:val="30"/>
          <w:szCs w:val="30"/>
          <w:lang w:val="en-GB"/>
        </w:rPr>
        <w:t xml:space="preserve">, </w:t>
      </w:r>
      <w:r w:rsidRPr="00BF38AF">
        <w:rPr>
          <w:rFonts w:ascii="Garamond" w:eastAsia="Lustria" w:hAnsi="Garamond"/>
          <w:i/>
          <w:iCs/>
          <w:sz w:val="30"/>
          <w:szCs w:val="30"/>
          <w:lang w:val="en-GB"/>
        </w:rPr>
        <w:t>(2020)</w:t>
      </w:r>
    </w:p>
    <w:p w14:paraId="5F33A924"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Muzafar</w:t>
      </w:r>
      <w:proofErr w:type="spellEnd"/>
      <w:r w:rsidRPr="00BF38AF">
        <w:rPr>
          <w:rFonts w:ascii="Garamond" w:eastAsia="Lustria" w:hAnsi="Garamond"/>
          <w:sz w:val="30"/>
          <w:szCs w:val="30"/>
          <w:lang w:val="en-GB"/>
        </w:rPr>
        <w:t xml:space="preserve">, A. "Asylum Seekers and Refugees in Indonesia: Problems and Potentials." </w:t>
      </w:r>
      <w:r w:rsidRPr="00BF38AF">
        <w:rPr>
          <w:rFonts w:ascii="Garamond" w:eastAsia="Lustria" w:hAnsi="Garamond"/>
          <w:i/>
          <w:iCs/>
          <w:sz w:val="30"/>
          <w:szCs w:val="30"/>
          <w:lang w:val="en-GB"/>
        </w:rPr>
        <w:t>Cosmopolitan Civil Societies Journal</w:t>
      </w:r>
      <w:r w:rsidRPr="00BF38AF">
        <w:rPr>
          <w:rFonts w:ascii="Garamond" w:eastAsia="Lustria" w:hAnsi="Garamond"/>
          <w:sz w:val="30"/>
          <w:szCs w:val="30"/>
          <w:lang w:val="en-GB"/>
        </w:rPr>
        <w:t xml:space="preserve">, </w:t>
      </w:r>
      <w:r w:rsidRPr="00BF38AF">
        <w:rPr>
          <w:rFonts w:ascii="Garamond" w:eastAsia="Lustria" w:hAnsi="Garamond"/>
          <w:i/>
          <w:iCs/>
          <w:sz w:val="30"/>
          <w:szCs w:val="30"/>
          <w:lang w:val="en-GB"/>
        </w:rPr>
        <w:t>(2016)</w:t>
      </w:r>
    </w:p>
    <w:p w14:paraId="5BECB47A"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N, </w:t>
      </w:r>
      <w:proofErr w:type="spellStart"/>
      <w:r w:rsidRPr="00BF38AF">
        <w:rPr>
          <w:rFonts w:ascii="Garamond" w:eastAsia="Lustria" w:hAnsi="Garamond"/>
          <w:sz w:val="30"/>
          <w:szCs w:val="30"/>
        </w:rPr>
        <w:t>Zaun</w:t>
      </w:r>
      <w:proofErr w:type="spellEnd"/>
      <w:r w:rsidRPr="00BF38AF">
        <w:rPr>
          <w:rFonts w:ascii="Garamond" w:eastAsia="Lustria" w:hAnsi="Garamond"/>
          <w:sz w:val="30"/>
          <w:szCs w:val="30"/>
        </w:rPr>
        <w:t xml:space="preserve">. </w:t>
      </w:r>
      <w:r w:rsidRPr="00BF38AF">
        <w:rPr>
          <w:rFonts w:ascii="Garamond" w:eastAsia="Lustria" w:hAnsi="Garamond"/>
          <w:i/>
          <w:iCs/>
          <w:sz w:val="30"/>
          <w:szCs w:val="30"/>
        </w:rPr>
        <w:t>EU Asylum Policies: The Power of Strong Regulating States.</w:t>
      </w:r>
      <w:r w:rsidRPr="00BF38AF">
        <w:rPr>
          <w:rFonts w:ascii="Garamond" w:eastAsia="Lustria" w:hAnsi="Garamond"/>
          <w:sz w:val="30"/>
          <w:szCs w:val="30"/>
        </w:rPr>
        <w:t xml:space="preserve"> Basingstoke: Palgrave Macmillan, 2017</w:t>
      </w:r>
    </w:p>
    <w:p w14:paraId="22D48377"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Nickel, J. W. </w:t>
      </w:r>
      <w:proofErr w:type="spellStart"/>
      <w:r w:rsidRPr="00BF38AF">
        <w:rPr>
          <w:rFonts w:ascii="Garamond" w:eastAsia="Lustria" w:hAnsi="Garamond"/>
          <w:i/>
          <w:iCs/>
          <w:sz w:val="30"/>
          <w:szCs w:val="30"/>
          <w:lang w:val="en-GB"/>
        </w:rPr>
        <w:t>Hak</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Asasi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Manusia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Refleksi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Filosofis</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atas</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Deklarasi</w:t>
      </w:r>
      <w:proofErr w:type="spellEnd"/>
      <w:r w:rsidRPr="00BF38AF">
        <w:rPr>
          <w:rFonts w:ascii="Garamond" w:eastAsia="Lustria" w:hAnsi="Garamond"/>
          <w:i/>
          <w:iCs/>
          <w:sz w:val="30"/>
          <w:szCs w:val="30"/>
          <w:lang w:val="en-GB"/>
        </w:rPr>
        <w:t xml:space="preserve"> Universal </w:t>
      </w:r>
      <w:proofErr w:type="spellStart"/>
      <w:r w:rsidRPr="00BF38AF">
        <w:rPr>
          <w:rFonts w:ascii="Garamond" w:eastAsia="Lustria" w:hAnsi="Garamond"/>
          <w:i/>
          <w:iCs/>
          <w:sz w:val="30"/>
          <w:szCs w:val="30"/>
          <w:lang w:val="en-GB"/>
        </w:rPr>
        <w:t>Hak</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Asasi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Manusia</w:t>
      </w:r>
      <w:proofErr w:type="spellEnd"/>
      <w:r w:rsidRPr="00BF38AF">
        <w:rPr>
          <w:rFonts w:ascii="Garamond" w:eastAsia="Lustria" w:hAnsi="Garamond"/>
          <w:sz w:val="30"/>
          <w:szCs w:val="30"/>
          <w:lang w:val="en-GB"/>
        </w:rPr>
        <w:t>. Gramedia Pustaka Utama.1996</w:t>
      </w:r>
    </w:p>
    <w:p w14:paraId="4DC42939"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Presidential Regulation No. 125 of 2016.</w:t>
      </w:r>
    </w:p>
    <w:p w14:paraId="796E4400"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Prihandono</w:t>
      </w:r>
      <w:proofErr w:type="spellEnd"/>
      <w:r w:rsidRPr="00BF38AF">
        <w:rPr>
          <w:rFonts w:ascii="Garamond" w:eastAsia="Lustria" w:hAnsi="Garamond"/>
          <w:sz w:val="30"/>
          <w:szCs w:val="30"/>
          <w:lang w:val="en-GB"/>
        </w:rPr>
        <w:t>, I. "</w:t>
      </w:r>
      <w:proofErr w:type="spellStart"/>
      <w:r w:rsidRPr="00BF38AF">
        <w:rPr>
          <w:rFonts w:ascii="Garamond" w:eastAsia="Lustria" w:hAnsi="Garamond"/>
          <w:sz w:val="30"/>
          <w:szCs w:val="30"/>
          <w:lang w:val="en-GB"/>
        </w:rPr>
        <w:t>Pemberian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Suaka</w:t>
      </w:r>
      <w:proofErr w:type="spellEnd"/>
      <w:r w:rsidRPr="00BF38AF">
        <w:rPr>
          <w:rFonts w:ascii="Garamond" w:eastAsia="Lustria" w:hAnsi="Garamond"/>
          <w:sz w:val="30"/>
          <w:szCs w:val="30"/>
          <w:lang w:val="en-GB"/>
        </w:rPr>
        <w:t xml:space="preserve"> oleh Negara: </w:t>
      </w:r>
      <w:proofErr w:type="spellStart"/>
      <w:r w:rsidRPr="00BF38AF">
        <w:rPr>
          <w:rFonts w:ascii="Garamond" w:eastAsia="Lustria" w:hAnsi="Garamond"/>
          <w:sz w:val="30"/>
          <w:szCs w:val="30"/>
          <w:lang w:val="en-GB"/>
        </w:rPr>
        <w:t>Kasus</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Pemberian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Suaka</w:t>
      </w:r>
      <w:proofErr w:type="spellEnd"/>
      <w:r w:rsidRPr="00BF38AF">
        <w:rPr>
          <w:rFonts w:ascii="Garamond" w:eastAsia="Lustria" w:hAnsi="Garamond"/>
          <w:sz w:val="30"/>
          <w:szCs w:val="30"/>
          <w:lang w:val="en-GB"/>
        </w:rPr>
        <w:t xml:space="preserve"> oleh </w:t>
      </w:r>
      <w:proofErr w:type="spellStart"/>
      <w:r w:rsidRPr="00BF38AF">
        <w:rPr>
          <w:rFonts w:ascii="Garamond" w:eastAsia="Lustria" w:hAnsi="Garamond"/>
          <w:sz w:val="30"/>
          <w:szCs w:val="30"/>
          <w:lang w:val="en-GB"/>
        </w:rPr>
        <w:t>Pemerintah</w:t>
      </w:r>
      <w:proofErr w:type="spellEnd"/>
      <w:r w:rsidRPr="00BF38AF">
        <w:rPr>
          <w:rFonts w:ascii="Garamond" w:eastAsia="Lustria" w:hAnsi="Garamond"/>
          <w:sz w:val="30"/>
          <w:szCs w:val="30"/>
          <w:lang w:val="en-GB"/>
        </w:rPr>
        <w:t xml:space="preserve"> Australia </w:t>
      </w:r>
      <w:proofErr w:type="spellStart"/>
      <w:r w:rsidRPr="00BF38AF">
        <w:rPr>
          <w:rFonts w:ascii="Garamond" w:eastAsia="Lustria" w:hAnsi="Garamond"/>
          <w:sz w:val="30"/>
          <w:szCs w:val="30"/>
          <w:lang w:val="en-GB"/>
        </w:rPr>
        <w:t>kepada</w:t>
      </w:r>
      <w:proofErr w:type="spellEnd"/>
      <w:r w:rsidRPr="00BF38AF">
        <w:rPr>
          <w:rFonts w:ascii="Garamond" w:eastAsia="Lustria" w:hAnsi="Garamond"/>
          <w:sz w:val="30"/>
          <w:szCs w:val="30"/>
          <w:lang w:val="en-GB"/>
        </w:rPr>
        <w:t xml:space="preserve"> 42 WNI </w:t>
      </w:r>
      <w:proofErr w:type="spellStart"/>
      <w:r w:rsidRPr="00BF38AF">
        <w:rPr>
          <w:rFonts w:ascii="Garamond" w:eastAsia="Lustria" w:hAnsi="Garamond"/>
          <w:sz w:val="30"/>
          <w:szCs w:val="30"/>
          <w:lang w:val="en-GB"/>
        </w:rPr>
        <w:t>asal</w:t>
      </w:r>
      <w:proofErr w:type="spellEnd"/>
      <w:r w:rsidRPr="00BF38AF">
        <w:rPr>
          <w:rFonts w:ascii="Garamond" w:eastAsia="Lustria" w:hAnsi="Garamond"/>
          <w:sz w:val="30"/>
          <w:szCs w:val="30"/>
          <w:lang w:val="en-GB"/>
        </w:rPr>
        <w:t xml:space="preserve"> Papua." </w:t>
      </w:r>
      <w:proofErr w:type="spellStart"/>
      <w:r w:rsidRPr="00BF38AF">
        <w:rPr>
          <w:rFonts w:ascii="Garamond" w:eastAsia="Lustria" w:hAnsi="Garamond"/>
          <w:i/>
          <w:iCs/>
          <w:sz w:val="30"/>
          <w:szCs w:val="30"/>
          <w:lang w:val="en-GB"/>
        </w:rPr>
        <w:t>Jurnal</w:t>
      </w:r>
      <w:proofErr w:type="spellEnd"/>
      <w:r w:rsidRPr="00BF38AF">
        <w:rPr>
          <w:rFonts w:ascii="Garamond" w:eastAsia="Lustria" w:hAnsi="Garamond"/>
          <w:i/>
          <w:iCs/>
          <w:sz w:val="30"/>
          <w:szCs w:val="30"/>
          <w:lang w:val="en-GB"/>
        </w:rPr>
        <w:t xml:space="preserve"> Hukum </w:t>
      </w:r>
      <w:proofErr w:type="spellStart"/>
      <w:r w:rsidRPr="00BF38AF">
        <w:rPr>
          <w:rFonts w:ascii="Garamond" w:eastAsia="Lustria" w:hAnsi="Garamond"/>
          <w:i/>
          <w:iCs/>
          <w:sz w:val="30"/>
          <w:szCs w:val="30"/>
          <w:lang w:val="en-GB"/>
        </w:rPr>
        <w:t>Yuridika</w:t>
      </w:r>
      <w:proofErr w:type="spellEnd"/>
      <w:r w:rsidRPr="00BF38AF">
        <w:rPr>
          <w:rFonts w:ascii="Garamond" w:eastAsia="Lustria" w:hAnsi="Garamond"/>
          <w:sz w:val="30"/>
          <w:szCs w:val="30"/>
          <w:lang w:val="en-GB"/>
        </w:rPr>
        <w:t xml:space="preserve"> (2006)</w:t>
      </w:r>
    </w:p>
    <w:p w14:paraId="16339B1B"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Robertson, G. </w:t>
      </w:r>
      <w:proofErr w:type="spellStart"/>
      <w:r w:rsidRPr="00BF38AF">
        <w:rPr>
          <w:rFonts w:ascii="Garamond" w:eastAsia="Lustria" w:hAnsi="Garamond"/>
          <w:i/>
          <w:iCs/>
          <w:sz w:val="30"/>
          <w:szCs w:val="30"/>
          <w:lang w:val="en-GB"/>
        </w:rPr>
        <w:t>Kejahatan</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terhadap</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kemanusiaan</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perjuangan</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untuk</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mewujudkan</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keadilan</w:t>
      </w:r>
      <w:proofErr w:type="spellEnd"/>
      <w:r w:rsidRPr="00BF38AF">
        <w:rPr>
          <w:rFonts w:ascii="Garamond" w:eastAsia="Lustria" w:hAnsi="Garamond"/>
          <w:i/>
          <w:iCs/>
          <w:sz w:val="30"/>
          <w:szCs w:val="30"/>
          <w:lang w:val="en-GB"/>
        </w:rPr>
        <w:t xml:space="preserve"> global</w:t>
      </w:r>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Komisi</w:t>
      </w:r>
      <w:proofErr w:type="spellEnd"/>
      <w:r w:rsidRPr="00BF38AF">
        <w:rPr>
          <w:rFonts w:ascii="Garamond" w:eastAsia="Lustria" w:hAnsi="Garamond"/>
          <w:sz w:val="30"/>
          <w:szCs w:val="30"/>
          <w:lang w:val="en-GB"/>
        </w:rPr>
        <w:t xml:space="preserve"> Nasional </w:t>
      </w:r>
      <w:proofErr w:type="spellStart"/>
      <w:r w:rsidRPr="00BF38AF">
        <w:rPr>
          <w:rFonts w:ascii="Garamond" w:eastAsia="Lustria" w:hAnsi="Garamond"/>
          <w:sz w:val="30"/>
          <w:szCs w:val="30"/>
          <w:lang w:val="en-GB"/>
        </w:rPr>
        <w:t>Hak</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Asasi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Manusia</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Republik</w:t>
      </w:r>
      <w:proofErr w:type="spellEnd"/>
      <w:r w:rsidRPr="00BF38AF">
        <w:rPr>
          <w:rFonts w:ascii="Garamond" w:eastAsia="Lustria" w:hAnsi="Garamond"/>
          <w:sz w:val="30"/>
          <w:szCs w:val="30"/>
          <w:lang w:val="en-GB"/>
        </w:rPr>
        <w:t xml:space="preserve"> Indonesia. 2002</w:t>
      </w:r>
    </w:p>
    <w:p w14:paraId="54D20BE3"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S, Abdullah. </w:t>
      </w:r>
      <w:proofErr w:type="spellStart"/>
      <w:r w:rsidRPr="00BF38AF">
        <w:rPr>
          <w:rFonts w:ascii="Garamond" w:eastAsia="Lustria" w:hAnsi="Garamond"/>
          <w:i/>
          <w:iCs/>
          <w:sz w:val="30"/>
          <w:szCs w:val="30"/>
          <w:lang w:val="en-GB"/>
        </w:rPr>
        <w:t>Darurat</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imigran</w:t>
      </w:r>
      <w:proofErr w:type="spellEnd"/>
      <w:r w:rsidRPr="00BF38AF">
        <w:rPr>
          <w:rFonts w:ascii="Garamond" w:eastAsia="Lustria" w:hAnsi="Garamond"/>
          <w:i/>
          <w:iCs/>
          <w:sz w:val="30"/>
          <w:szCs w:val="30"/>
          <w:lang w:val="en-GB"/>
        </w:rPr>
        <w:t xml:space="preserve"> di Riau </w:t>
      </w:r>
      <w:proofErr w:type="spellStart"/>
      <w:r w:rsidRPr="00BF38AF">
        <w:rPr>
          <w:rFonts w:ascii="Garamond" w:eastAsia="Lustria" w:hAnsi="Garamond"/>
          <w:i/>
          <w:iCs/>
          <w:sz w:val="30"/>
          <w:szCs w:val="30"/>
          <w:lang w:val="en-GB"/>
        </w:rPr>
        <w:t>mulai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palsukan</w:t>
      </w:r>
      <w:proofErr w:type="spellEnd"/>
      <w:r w:rsidRPr="00BF38AF">
        <w:rPr>
          <w:rFonts w:ascii="Garamond" w:eastAsia="Lustria" w:hAnsi="Garamond"/>
          <w:i/>
          <w:iCs/>
          <w:sz w:val="30"/>
          <w:szCs w:val="30"/>
          <w:lang w:val="en-GB"/>
        </w:rPr>
        <w:t xml:space="preserve"> KTP </w:t>
      </w:r>
      <w:proofErr w:type="spellStart"/>
      <w:r w:rsidRPr="00BF38AF">
        <w:rPr>
          <w:rFonts w:ascii="Garamond" w:eastAsia="Lustria" w:hAnsi="Garamond"/>
          <w:i/>
          <w:iCs/>
          <w:sz w:val="30"/>
          <w:szCs w:val="30"/>
          <w:lang w:val="en-GB"/>
        </w:rPr>
        <w:t>hingga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jadi</w:t>
      </w:r>
      <w:proofErr w:type="spellEnd"/>
      <w:r w:rsidRPr="00BF38AF">
        <w:rPr>
          <w:rFonts w:ascii="Garamond" w:eastAsia="Lustria" w:hAnsi="Garamond"/>
          <w:i/>
          <w:iCs/>
          <w:sz w:val="30"/>
          <w:szCs w:val="30"/>
          <w:lang w:val="en-GB"/>
        </w:rPr>
        <w:t xml:space="preserve"> gigolo | merdeka.com</w:t>
      </w:r>
      <w:r w:rsidRPr="00BF38AF">
        <w:rPr>
          <w:rFonts w:ascii="Garamond" w:eastAsia="Lustria" w:hAnsi="Garamond"/>
          <w:sz w:val="30"/>
          <w:szCs w:val="30"/>
          <w:lang w:val="en-GB"/>
        </w:rPr>
        <w:t>, 2015. https://m.merdeka.com/berita-</w:t>
      </w:r>
      <w:r w:rsidRPr="00BF38AF">
        <w:rPr>
          <w:rFonts w:ascii="Garamond" w:eastAsia="Lustria" w:hAnsi="Garamond"/>
          <w:sz w:val="30"/>
          <w:szCs w:val="30"/>
          <w:lang w:val="en-GB"/>
        </w:rPr>
        <w:lastRenderedPageBreak/>
        <w:t>trending/20150422/peristiwa/17-darurat-imigran-di-riau-mulai-palsukan-ktp-hingga-jadi-gigolo.html</w:t>
      </w:r>
    </w:p>
    <w:p w14:paraId="191EDC55"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r w:rsidRPr="00BF38AF">
        <w:rPr>
          <w:rFonts w:ascii="Garamond" w:eastAsia="Lustria" w:hAnsi="Garamond"/>
          <w:sz w:val="30"/>
          <w:szCs w:val="30"/>
        </w:rPr>
        <w:t xml:space="preserve">S, Kneebone. </w:t>
      </w:r>
      <w:r w:rsidRPr="00BF38AF">
        <w:rPr>
          <w:rFonts w:ascii="Garamond" w:eastAsia="Lustria" w:hAnsi="Garamond"/>
          <w:i/>
          <w:iCs/>
          <w:sz w:val="30"/>
          <w:szCs w:val="30"/>
        </w:rPr>
        <w:t>ASEAN and the conceptualization of refugee protection in Southeast Asian states.</w:t>
      </w:r>
      <w:r w:rsidRPr="00BF38AF">
        <w:rPr>
          <w:rFonts w:ascii="Garamond" w:eastAsia="Lustria" w:hAnsi="Garamond"/>
          <w:sz w:val="30"/>
          <w:szCs w:val="30"/>
        </w:rPr>
        <w:t xml:space="preserve"> </w:t>
      </w:r>
      <w:proofErr w:type="spellStart"/>
      <w:r w:rsidRPr="00BF38AF">
        <w:rPr>
          <w:rFonts w:ascii="Garamond" w:eastAsia="Lustria" w:hAnsi="Garamond"/>
          <w:sz w:val="30"/>
          <w:szCs w:val="30"/>
        </w:rPr>
        <w:t>Abass</w:t>
      </w:r>
      <w:proofErr w:type="spellEnd"/>
      <w:r w:rsidRPr="00BF38AF">
        <w:rPr>
          <w:rFonts w:ascii="Garamond" w:eastAsia="Lustria" w:hAnsi="Garamond"/>
          <w:sz w:val="30"/>
          <w:szCs w:val="30"/>
        </w:rPr>
        <w:t xml:space="preserve"> A, Ippolito F and </w:t>
      </w:r>
      <w:proofErr w:type="spellStart"/>
      <w:r w:rsidRPr="00BF38AF">
        <w:rPr>
          <w:rFonts w:ascii="Garamond" w:eastAsia="Lustria" w:hAnsi="Garamond"/>
          <w:sz w:val="30"/>
          <w:szCs w:val="30"/>
        </w:rPr>
        <w:t>Juss</w:t>
      </w:r>
      <w:proofErr w:type="spellEnd"/>
      <w:r w:rsidRPr="00BF38AF">
        <w:rPr>
          <w:rFonts w:ascii="Garamond" w:eastAsia="Lustria" w:hAnsi="Garamond"/>
          <w:sz w:val="30"/>
          <w:szCs w:val="30"/>
        </w:rPr>
        <w:t xml:space="preserve"> SS (eds) Regional Approaches to the Protection of Asylum Seekers: An International Legal Perspective. New York, 2014</w:t>
      </w:r>
    </w:p>
    <w:p w14:paraId="4FF76CB0"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Starke, J. G.  </w:t>
      </w:r>
      <w:r w:rsidRPr="00BF38AF">
        <w:rPr>
          <w:rFonts w:ascii="Garamond" w:eastAsia="Lustria" w:hAnsi="Garamond"/>
          <w:i/>
          <w:iCs/>
          <w:sz w:val="30"/>
          <w:szCs w:val="30"/>
          <w:lang w:val="en-GB"/>
        </w:rPr>
        <w:t>An Introduction to International Law</w:t>
      </w:r>
      <w:r w:rsidRPr="00BF38AF">
        <w:rPr>
          <w:rFonts w:ascii="Garamond" w:eastAsia="Lustria" w:hAnsi="Garamond"/>
          <w:sz w:val="30"/>
          <w:szCs w:val="30"/>
          <w:lang w:val="en-GB"/>
        </w:rPr>
        <w:t>. Butterworth. 1997</w:t>
      </w:r>
    </w:p>
    <w:p w14:paraId="62118489"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Subawa</w:t>
      </w:r>
      <w:proofErr w:type="spellEnd"/>
      <w:r w:rsidRPr="00BF38AF">
        <w:rPr>
          <w:rFonts w:ascii="Garamond" w:eastAsia="Lustria" w:hAnsi="Garamond"/>
          <w:sz w:val="30"/>
          <w:szCs w:val="30"/>
          <w:lang w:val="en-GB"/>
        </w:rPr>
        <w:t xml:space="preserve">, I. M. </w:t>
      </w:r>
      <w:proofErr w:type="spellStart"/>
      <w:r w:rsidRPr="00BF38AF">
        <w:rPr>
          <w:rFonts w:ascii="Garamond" w:eastAsia="Lustria" w:hAnsi="Garamond"/>
          <w:i/>
          <w:iCs/>
          <w:sz w:val="30"/>
          <w:szCs w:val="30"/>
          <w:lang w:val="en-GB"/>
        </w:rPr>
        <w:t>Hak</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Asasi</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Manusia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Bidang</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Ekonomi</w:t>
      </w:r>
      <w:proofErr w:type="spellEnd"/>
      <w:r w:rsidRPr="00BF38AF">
        <w:rPr>
          <w:rFonts w:ascii="Garamond" w:eastAsia="Lustria" w:hAnsi="Garamond"/>
          <w:i/>
          <w:iCs/>
          <w:sz w:val="30"/>
          <w:szCs w:val="30"/>
          <w:lang w:val="en-GB"/>
        </w:rPr>
        <w:t xml:space="preserve"> Sosial dan </w:t>
      </w:r>
      <w:proofErr w:type="spellStart"/>
      <w:r w:rsidRPr="00BF38AF">
        <w:rPr>
          <w:rFonts w:ascii="Garamond" w:eastAsia="Lustria" w:hAnsi="Garamond"/>
          <w:i/>
          <w:iCs/>
          <w:sz w:val="30"/>
          <w:szCs w:val="30"/>
          <w:lang w:val="en-GB"/>
        </w:rPr>
        <w:t>Budaya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Menurut</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Perubahan</w:t>
      </w:r>
      <w:proofErr w:type="spellEnd"/>
      <w:r w:rsidRPr="00BF38AF">
        <w:rPr>
          <w:rFonts w:ascii="Garamond" w:eastAsia="Lustria" w:hAnsi="Garamond"/>
          <w:i/>
          <w:iCs/>
          <w:sz w:val="30"/>
          <w:szCs w:val="30"/>
          <w:lang w:val="en-GB"/>
        </w:rPr>
        <w:t xml:space="preserve"> UUD 1945</w:t>
      </w:r>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Kertha</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Patrika</w:t>
      </w:r>
      <w:proofErr w:type="spellEnd"/>
      <w:r w:rsidRPr="00BF38AF">
        <w:rPr>
          <w:rFonts w:ascii="Garamond" w:eastAsia="Lustria" w:hAnsi="Garamond"/>
          <w:sz w:val="30"/>
          <w:szCs w:val="30"/>
          <w:lang w:val="en-GB"/>
        </w:rPr>
        <w:t>, 2008 https://doi.org/10.24843/KP.2008.V33.I01.P05</w:t>
      </w:r>
    </w:p>
    <w:p w14:paraId="55166B7D"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Sulaiman</w:t>
      </w:r>
      <w:proofErr w:type="spellEnd"/>
      <w:r w:rsidRPr="00BF38AF">
        <w:rPr>
          <w:rFonts w:ascii="Garamond" w:eastAsia="Lustria" w:hAnsi="Garamond"/>
          <w:sz w:val="30"/>
          <w:szCs w:val="30"/>
          <w:lang w:val="en-GB"/>
        </w:rPr>
        <w:t xml:space="preserve">, H. </w:t>
      </w:r>
      <w:r w:rsidRPr="00BF38AF">
        <w:rPr>
          <w:rFonts w:ascii="Garamond" w:eastAsia="Lustria" w:hAnsi="Garamond"/>
          <w:i/>
          <w:iCs/>
          <w:sz w:val="30"/>
          <w:szCs w:val="30"/>
          <w:lang w:val="en-GB"/>
        </w:rPr>
        <w:t xml:space="preserve">Lembaga </w:t>
      </w:r>
      <w:proofErr w:type="spellStart"/>
      <w:r w:rsidRPr="00BF38AF">
        <w:rPr>
          <w:rFonts w:ascii="Garamond" w:eastAsia="Lustria" w:hAnsi="Garamond"/>
          <w:i/>
          <w:iCs/>
          <w:sz w:val="30"/>
          <w:szCs w:val="30"/>
          <w:lang w:val="en-GB"/>
        </w:rPr>
        <w:t>Suaka</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dalam</w:t>
      </w:r>
      <w:proofErr w:type="spellEnd"/>
      <w:r w:rsidRPr="00BF38AF">
        <w:rPr>
          <w:rFonts w:ascii="Garamond" w:eastAsia="Lustria" w:hAnsi="Garamond"/>
          <w:i/>
          <w:iCs/>
          <w:sz w:val="30"/>
          <w:szCs w:val="30"/>
          <w:lang w:val="en-GB"/>
        </w:rPr>
        <w:t xml:space="preserve"> Hukum </w:t>
      </w:r>
      <w:proofErr w:type="spellStart"/>
      <w:r w:rsidRPr="00BF38AF">
        <w:rPr>
          <w:rFonts w:ascii="Garamond" w:eastAsia="Lustria" w:hAnsi="Garamond"/>
          <w:i/>
          <w:iCs/>
          <w:sz w:val="30"/>
          <w:szCs w:val="30"/>
          <w:lang w:val="en-GB"/>
        </w:rPr>
        <w:t>Internasional</w:t>
      </w:r>
      <w:proofErr w:type="spellEnd"/>
      <w:r w:rsidRPr="00BF38AF">
        <w:rPr>
          <w:rFonts w:ascii="Garamond" w:eastAsia="Lustria" w:hAnsi="Garamond"/>
          <w:sz w:val="30"/>
          <w:szCs w:val="30"/>
          <w:lang w:val="en-GB"/>
        </w:rPr>
        <w:t xml:space="preserve">. Raja </w:t>
      </w:r>
      <w:proofErr w:type="spellStart"/>
      <w:r w:rsidRPr="00BF38AF">
        <w:rPr>
          <w:rFonts w:ascii="Garamond" w:eastAsia="Lustria" w:hAnsi="Garamond"/>
          <w:sz w:val="30"/>
          <w:szCs w:val="30"/>
          <w:lang w:val="en-GB"/>
        </w:rPr>
        <w:t>Grafindo</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Persada</w:t>
      </w:r>
      <w:proofErr w:type="spellEnd"/>
      <w:r w:rsidRPr="00BF38AF">
        <w:rPr>
          <w:rFonts w:ascii="Garamond" w:eastAsia="Lustria" w:hAnsi="Garamond"/>
          <w:sz w:val="30"/>
          <w:szCs w:val="30"/>
          <w:lang w:val="en-GB"/>
        </w:rPr>
        <w:t>. 2002</w:t>
      </w:r>
    </w:p>
    <w:p w14:paraId="58266D94"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Syahrin</w:t>
      </w:r>
      <w:proofErr w:type="spellEnd"/>
      <w:r w:rsidRPr="00BF38AF">
        <w:rPr>
          <w:rFonts w:ascii="Garamond" w:eastAsia="Lustria" w:hAnsi="Garamond"/>
          <w:sz w:val="30"/>
          <w:szCs w:val="30"/>
          <w:lang w:val="en-GB"/>
        </w:rPr>
        <w:t xml:space="preserve">, M. A. "Tafsir </w:t>
      </w:r>
      <w:proofErr w:type="spellStart"/>
      <w:r w:rsidRPr="00BF38AF">
        <w:rPr>
          <w:rFonts w:ascii="Garamond" w:eastAsia="Lustria" w:hAnsi="Garamond"/>
          <w:sz w:val="30"/>
          <w:szCs w:val="30"/>
          <w:lang w:val="en-GB"/>
        </w:rPr>
        <w:t>Yuridis</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Peraturan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Direktur</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Jenderal</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Imigrasi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Nomor</w:t>
      </w:r>
      <w:proofErr w:type="spellEnd"/>
      <w:r w:rsidRPr="00BF38AF">
        <w:rPr>
          <w:rFonts w:ascii="Garamond" w:eastAsia="Lustria" w:hAnsi="Garamond"/>
          <w:sz w:val="30"/>
          <w:szCs w:val="30"/>
          <w:lang w:val="en-GB"/>
        </w:rPr>
        <w:t xml:space="preserve"> IMI-0352.GR.02.07 </w:t>
      </w:r>
      <w:proofErr w:type="spellStart"/>
      <w:r w:rsidRPr="00BF38AF">
        <w:rPr>
          <w:rFonts w:ascii="Garamond" w:eastAsia="Lustria" w:hAnsi="Garamond"/>
          <w:sz w:val="30"/>
          <w:szCs w:val="30"/>
          <w:lang w:val="en-GB"/>
        </w:rPr>
        <w:t>Tahun</w:t>
      </w:r>
      <w:proofErr w:type="spellEnd"/>
      <w:r w:rsidRPr="00BF38AF">
        <w:rPr>
          <w:rFonts w:ascii="Garamond" w:eastAsia="Lustria" w:hAnsi="Garamond"/>
          <w:sz w:val="30"/>
          <w:szCs w:val="30"/>
          <w:lang w:val="en-GB"/>
        </w:rPr>
        <w:t xml:space="preserve"> 2016 </w:t>
      </w:r>
      <w:proofErr w:type="spellStart"/>
      <w:r w:rsidRPr="00BF38AF">
        <w:rPr>
          <w:rFonts w:ascii="Garamond" w:eastAsia="Lustria" w:hAnsi="Garamond"/>
          <w:sz w:val="30"/>
          <w:szCs w:val="30"/>
          <w:lang w:val="en-GB"/>
        </w:rPr>
        <w:t>tentang</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Penanganan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Imigrasi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Ilegal</w:t>
      </w:r>
      <w:proofErr w:type="spellEnd"/>
      <w:r w:rsidRPr="00BF38AF">
        <w:rPr>
          <w:rFonts w:ascii="Garamond" w:eastAsia="Lustria" w:hAnsi="Garamond"/>
          <w:sz w:val="30"/>
          <w:szCs w:val="30"/>
          <w:lang w:val="en-GB"/>
        </w:rPr>
        <w:t xml:space="preserve"> yang </w:t>
      </w:r>
      <w:proofErr w:type="spellStart"/>
      <w:r w:rsidRPr="00BF38AF">
        <w:rPr>
          <w:rFonts w:ascii="Garamond" w:eastAsia="Lustria" w:hAnsi="Garamond"/>
          <w:sz w:val="30"/>
          <w:szCs w:val="30"/>
          <w:lang w:val="en-GB"/>
        </w:rPr>
        <w:t>menyatakan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diri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Sebagai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Pencari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Suaka</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atau</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Pengungsi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dalam</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Kebijakan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Selektif</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Keimigrasian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Pendekatan</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Teori</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sz w:val="30"/>
          <w:szCs w:val="30"/>
          <w:lang w:val="en-GB"/>
        </w:rPr>
        <w:t>Hierarki</w:t>
      </w:r>
      <w:proofErr w:type="spellEnd"/>
      <w:r w:rsidRPr="00BF38AF">
        <w:rPr>
          <w:rFonts w:ascii="Garamond" w:eastAsia="Lustria" w:hAnsi="Garamond"/>
          <w:sz w:val="30"/>
          <w:szCs w:val="30"/>
          <w:lang w:val="en-GB"/>
        </w:rPr>
        <w:t xml:space="preserve"> Norma </w:t>
      </w:r>
      <w:proofErr w:type="spellStart"/>
      <w:r w:rsidRPr="00BF38AF">
        <w:rPr>
          <w:rFonts w:ascii="Garamond" w:eastAsia="Lustria" w:hAnsi="Garamond"/>
          <w:sz w:val="30"/>
          <w:szCs w:val="30"/>
          <w:lang w:val="en-GB"/>
        </w:rPr>
        <w:t>Huku</w:t>
      </w:r>
      <w:proofErr w:type="spellEnd"/>
      <w:r w:rsidRPr="00BF38AF">
        <w:rPr>
          <w:rFonts w:ascii="Garamond" w:eastAsia="Lustria" w:hAnsi="Garamond"/>
          <w:sz w:val="30"/>
          <w:szCs w:val="30"/>
          <w:lang w:val="en-GB"/>
        </w:rPr>
        <w:t xml:space="preserve">." </w:t>
      </w:r>
      <w:proofErr w:type="spellStart"/>
      <w:r w:rsidRPr="00BF38AF">
        <w:rPr>
          <w:rFonts w:ascii="Garamond" w:eastAsia="Lustria" w:hAnsi="Garamond"/>
          <w:i/>
          <w:iCs/>
          <w:sz w:val="30"/>
          <w:szCs w:val="30"/>
          <w:lang w:val="en-GB"/>
        </w:rPr>
        <w:t>Jurnal</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Ilmiah</w:t>
      </w:r>
      <w:proofErr w:type="spellEnd"/>
      <w:r w:rsidRPr="00BF38AF">
        <w:rPr>
          <w:rFonts w:ascii="Garamond" w:eastAsia="Lustria" w:hAnsi="Garamond"/>
          <w:i/>
          <w:iCs/>
          <w:sz w:val="30"/>
          <w:szCs w:val="30"/>
          <w:lang w:val="en-GB"/>
        </w:rPr>
        <w:t xml:space="preserve"> Kajian </w:t>
      </w:r>
      <w:proofErr w:type="spellStart"/>
      <w:r w:rsidRPr="00BF38AF">
        <w:rPr>
          <w:rFonts w:ascii="Garamond" w:eastAsia="Lustria" w:hAnsi="Garamond"/>
          <w:i/>
          <w:iCs/>
          <w:sz w:val="30"/>
          <w:szCs w:val="30"/>
          <w:lang w:val="en-GB"/>
        </w:rPr>
        <w:t>Keimigrasian</w:t>
      </w:r>
      <w:proofErr w:type="spellEnd"/>
      <w:r w:rsidRPr="00BF38AF">
        <w:rPr>
          <w:rFonts w:ascii="Garamond" w:eastAsia="Lustria" w:hAnsi="Garamond"/>
          <w:sz w:val="30"/>
          <w:szCs w:val="30"/>
          <w:lang w:val="en-GB"/>
        </w:rPr>
        <w:t xml:space="preserve"> (2019)</w:t>
      </w:r>
    </w:p>
    <w:p w14:paraId="5546B86E"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UNHCR. </w:t>
      </w:r>
      <w:r w:rsidRPr="00BF38AF">
        <w:rPr>
          <w:rFonts w:ascii="Garamond" w:eastAsia="Lustria" w:hAnsi="Garamond"/>
          <w:i/>
          <w:iCs/>
          <w:sz w:val="30"/>
          <w:szCs w:val="30"/>
          <w:lang w:val="en-GB"/>
        </w:rPr>
        <w:t>Human Rights and Refugee Protection</w:t>
      </w:r>
      <w:r w:rsidRPr="00BF38AF">
        <w:rPr>
          <w:rFonts w:ascii="Garamond" w:eastAsia="Lustria" w:hAnsi="Garamond"/>
          <w:sz w:val="30"/>
          <w:szCs w:val="30"/>
          <w:lang w:val="en-GB"/>
        </w:rPr>
        <w:t>. UNHCR. 1998</w:t>
      </w:r>
    </w:p>
    <w:p w14:paraId="151E42DC"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Universal Declaration of Human Rights, (1948).</w:t>
      </w:r>
    </w:p>
    <w:p w14:paraId="44F79ECE"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proofErr w:type="spellStart"/>
      <w:r w:rsidRPr="00BF38AF">
        <w:rPr>
          <w:rFonts w:ascii="Garamond" w:eastAsia="Lustria" w:hAnsi="Garamond"/>
          <w:sz w:val="30"/>
          <w:szCs w:val="30"/>
          <w:lang w:val="en-GB"/>
        </w:rPr>
        <w:t>Wahyun</w:t>
      </w:r>
      <w:proofErr w:type="spellEnd"/>
      <w:r w:rsidRPr="00BF38AF">
        <w:rPr>
          <w:rFonts w:ascii="Garamond" w:eastAsia="Lustria" w:hAnsi="Garamond"/>
          <w:sz w:val="30"/>
          <w:szCs w:val="30"/>
          <w:lang w:val="en-GB"/>
        </w:rPr>
        <w:t xml:space="preserve">, T. </w:t>
      </w:r>
      <w:r w:rsidRPr="00BF38AF">
        <w:rPr>
          <w:rFonts w:ascii="Garamond" w:eastAsia="Lustria" w:hAnsi="Garamond"/>
          <w:i/>
          <w:iCs/>
          <w:sz w:val="30"/>
          <w:szCs w:val="30"/>
          <w:lang w:val="en-GB"/>
        </w:rPr>
        <w:t xml:space="preserve">UNHCR: </w:t>
      </w:r>
      <w:proofErr w:type="spellStart"/>
      <w:r w:rsidRPr="00BF38AF">
        <w:rPr>
          <w:rFonts w:ascii="Garamond" w:eastAsia="Lustria" w:hAnsi="Garamond"/>
          <w:i/>
          <w:iCs/>
          <w:sz w:val="30"/>
          <w:szCs w:val="30"/>
          <w:lang w:val="en-GB"/>
        </w:rPr>
        <w:t>Jumlah</w:t>
      </w:r>
      <w:proofErr w:type="spellEnd"/>
      <w:r w:rsidRPr="00BF38AF">
        <w:rPr>
          <w:rFonts w:ascii="Garamond" w:eastAsia="Lustria" w:hAnsi="Garamond"/>
          <w:i/>
          <w:iCs/>
          <w:sz w:val="30"/>
          <w:szCs w:val="30"/>
          <w:lang w:val="en-GB"/>
        </w:rPr>
        <w:t xml:space="preserve"> </w:t>
      </w:r>
      <w:proofErr w:type="spellStart"/>
      <w:r w:rsidRPr="00BF38AF">
        <w:rPr>
          <w:rFonts w:ascii="Garamond" w:eastAsia="Lustria" w:hAnsi="Garamond"/>
          <w:i/>
          <w:iCs/>
          <w:sz w:val="30"/>
          <w:szCs w:val="30"/>
          <w:lang w:val="en-GB"/>
        </w:rPr>
        <w:t>Pengungsi</w:t>
      </w:r>
      <w:proofErr w:type="spellEnd"/>
      <w:r w:rsidRPr="00BF38AF">
        <w:rPr>
          <w:rFonts w:ascii="Garamond" w:eastAsia="Lustria" w:hAnsi="Garamond"/>
          <w:i/>
          <w:iCs/>
          <w:sz w:val="30"/>
          <w:szCs w:val="30"/>
          <w:lang w:val="en-GB"/>
        </w:rPr>
        <w:t xml:space="preserve"> di Indonesia </w:t>
      </w:r>
      <w:proofErr w:type="spellStart"/>
      <w:r w:rsidRPr="00BF38AF">
        <w:rPr>
          <w:rFonts w:ascii="Garamond" w:eastAsia="Lustria" w:hAnsi="Garamond"/>
          <w:i/>
          <w:iCs/>
          <w:sz w:val="30"/>
          <w:szCs w:val="30"/>
          <w:lang w:val="en-GB"/>
        </w:rPr>
        <w:t>Meningkat</w:t>
      </w:r>
      <w:proofErr w:type="spellEnd"/>
      <w:r w:rsidRPr="00BF38AF">
        <w:rPr>
          <w:rFonts w:ascii="Garamond" w:eastAsia="Lustria" w:hAnsi="Garamond"/>
          <w:sz w:val="30"/>
          <w:szCs w:val="30"/>
          <w:lang w:val="en-GB"/>
        </w:rPr>
        <w:t>. 2015 https://www.cnnindonesia.com/nasional/20150728204221-20-68699/unhcr-jumlah-pengungsi-di-indonesia-meningkat/</w:t>
      </w:r>
    </w:p>
    <w:p w14:paraId="6A94171B"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lang w:val="en-GB"/>
        </w:rPr>
      </w:pPr>
      <w:r w:rsidRPr="00BF38AF">
        <w:rPr>
          <w:rFonts w:ascii="Garamond" w:eastAsia="Lustria" w:hAnsi="Garamond"/>
          <w:sz w:val="30"/>
          <w:szCs w:val="30"/>
          <w:lang w:val="en-GB"/>
        </w:rPr>
        <w:t xml:space="preserve">Weiner, M. (1997). "Global Movement, Global Walls: Responses to Migration 1885-1925." In G. Wu (Ed.), Global History and Migration. </w:t>
      </w:r>
      <w:r w:rsidRPr="00BF38AF">
        <w:rPr>
          <w:rFonts w:ascii="Garamond" w:eastAsia="Lustria" w:hAnsi="Garamond"/>
          <w:i/>
          <w:iCs/>
          <w:sz w:val="30"/>
          <w:szCs w:val="30"/>
          <w:lang w:val="en-GB"/>
        </w:rPr>
        <w:t>Westview Press</w:t>
      </w:r>
      <w:r w:rsidRPr="00BF38AF">
        <w:rPr>
          <w:rFonts w:ascii="Garamond" w:eastAsia="Lustria" w:hAnsi="Garamond"/>
          <w:sz w:val="30"/>
          <w:szCs w:val="30"/>
          <w:lang w:val="en-GB"/>
        </w:rPr>
        <w:t xml:space="preserve"> (1997)</w:t>
      </w:r>
    </w:p>
    <w:p w14:paraId="4E475195" w14:textId="77777777" w:rsidR="00BF38AF" w:rsidRPr="00BF38AF" w:rsidRDefault="00BF38AF" w:rsidP="00BF38AF">
      <w:pPr>
        <w:spacing w:before="120" w:after="120" w:line="276" w:lineRule="auto"/>
        <w:ind w:leftChars="0" w:left="0" w:firstLineChars="0" w:firstLine="0"/>
        <w:jc w:val="both"/>
        <w:rPr>
          <w:rFonts w:ascii="Garamond" w:eastAsia="Lustria" w:hAnsi="Garamond"/>
          <w:sz w:val="30"/>
          <w:szCs w:val="30"/>
        </w:rPr>
      </w:pPr>
      <w:proofErr w:type="spellStart"/>
      <w:r w:rsidRPr="00BF38AF">
        <w:rPr>
          <w:rFonts w:ascii="Garamond" w:eastAsia="Lustria" w:hAnsi="Garamond"/>
          <w:sz w:val="30"/>
          <w:szCs w:val="30"/>
          <w:lang w:val="en-GB"/>
        </w:rPr>
        <w:t>Weissbrodt</w:t>
      </w:r>
      <w:proofErr w:type="spellEnd"/>
      <w:r w:rsidRPr="00BF38AF">
        <w:rPr>
          <w:rFonts w:ascii="Garamond" w:eastAsia="Lustria" w:hAnsi="Garamond"/>
          <w:sz w:val="30"/>
          <w:szCs w:val="30"/>
          <w:lang w:val="en-GB"/>
        </w:rPr>
        <w:t xml:space="preserve">, D., &amp; </w:t>
      </w:r>
      <w:proofErr w:type="spellStart"/>
      <w:r w:rsidRPr="00BF38AF">
        <w:rPr>
          <w:rFonts w:ascii="Garamond" w:eastAsia="Lustria" w:hAnsi="Garamond"/>
          <w:sz w:val="30"/>
          <w:szCs w:val="30"/>
          <w:lang w:val="en-GB"/>
        </w:rPr>
        <w:t>Hortreiter</w:t>
      </w:r>
      <w:proofErr w:type="spellEnd"/>
      <w:r w:rsidRPr="00BF38AF">
        <w:rPr>
          <w:rFonts w:ascii="Garamond" w:eastAsia="Lustria" w:hAnsi="Garamond"/>
          <w:sz w:val="30"/>
          <w:szCs w:val="30"/>
          <w:lang w:val="en-GB"/>
        </w:rPr>
        <w:t xml:space="preserve">, I. "The Principle of Non-Refoulement: Article 3 of the Convention Against Torture and Other Cruel, Inhuman or Degrading Treatment or Punishment in Comparison with the Non-Refoulement Provisions of Other International Human Rights Treaties." </w:t>
      </w:r>
      <w:r w:rsidRPr="00BF38AF">
        <w:rPr>
          <w:rFonts w:ascii="Garamond" w:eastAsia="Lustria" w:hAnsi="Garamond"/>
          <w:i/>
          <w:iCs/>
          <w:sz w:val="30"/>
          <w:szCs w:val="30"/>
          <w:lang w:val="en-GB"/>
        </w:rPr>
        <w:t>Buffalo Human Rights Law Review</w:t>
      </w:r>
      <w:r w:rsidRPr="00BF38AF">
        <w:rPr>
          <w:rFonts w:ascii="Garamond" w:eastAsia="Lustria" w:hAnsi="Garamond"/>
          <w:sz w:val="30"/>
          <w:szCs w:val="30"/>
          <w:lang w:val="en-GB"/>
        </w:rPr>
        <w:t xml:space="preserve"> (1999)</w:t>
      </w:r>
    </w:p>
    <w:p w14:paraId="141DFFBF" w14:textId="211194C0" w:rsidR="00BF38AF" w:rsidRPr="009B6FAA" w:rsidRDefault="00BF38AF" w:rsidP="00BF38AF">
      <w:pPr>
        <w:spacing w:before="120" w:after="120" w:line="276" w:lineRule="auto"/>
        <w:ind w:leftChars="0" w:left="0" w:firstLineChars="0" w:firstLine="0"/>
        <w:jc w:val="both"/>
        <w:rPr>
          <w:rFonts w:ascii="Garamond" w:hAnsi="Garamond"/>
          <w:sz w:val="30"/>
          <w:szCs w:val="30"/>
        </w:rPr>
      </w:pPr>
      <w:r w:rsidRPr="00BF38AF">
        <w:rPr>
          <w:rFonts w:ascii="Garamond" w:eastAsia="Lustria" w:hAnsi="Garamond"/>
          <w:sz w:val="30"/>
          <w:szCs w:val="30"/>
        </w:rPr>
        <w:fldChar w:fldCharType="end"/>
      </w:r>
    </w:p>
    <w:p w14:paraId="3084A7B0" w14:textId="77777777" w:rsidR="00117F6F" w:rsidRPr="00A1264C" w:rsidRDefault="00117F6F" w:rsidP="00117F6F">
      <w:pPr>
        <w:spacing w:before="120" w:after="120" w:line="276" w:lineRule="auto"/>
        <w:ind w:left="1" w:hanging="3"/>
        <w:jc w:val="both"/>
        <w:rPr>
          <w:rFonts w:ascii="Garamond" w:hAnsi="Garamond"/>
          <w:sz w:val="28"/>
          <w:szCs w:val="28"/>
        </w:rPr>
      </w:pPr>
    </w:p>
    <w:sectPr w:rsidR="00117F6F" w:rsidRPr="00A1264C" w:rsidSect="00566A17">
      <w:headerReference w:type="even" r:id="rId9"/>
      <w:headerReference w:type="default" r:id="rId10"/>
      <w:footerReference w:type="even" r:id="rId11"/>
      <w:footerReference w:type="default" r:id="rId12"/>
      <w:headerReference w:type="first" r:id="rId13"/>
      <w:footerReference w:type="first" r:id="rId14"/>
      <w:pgSz w:w="11907" w:h="16839"/>
      <w:pgMar w:top="1701" w:right="1304" w:bottom="1418" w:left="1304" w:header="729" w:footer="7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739D3" w14:textId="77777777" w:rsidR="002851E1" w:rsidRDefault="002851E1">
      <w:pPr>
        <w:spacing w:line="240" w:lineRule="auto"/>
        <w:ind w:left="0" w:hanging="2"/>
      </w:pPr>
      <w:r>
        <w:separator/>
      </w:r>
    </w:p>
  </w:endnote>
  <w:endnote w:type="continuationSeparator" w:id="0">
    <w:p w14:paraId="2F154BC9" w14:textId="77777777" w:rsidR="002851E1" w:rsidRDefault="002851E1">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altName w:val="Calibri"/>
    <w:panose1 w:val="020F0502020204030204"/>
    <w:charset w:val="00"/>
    <w:family w:val="swiss"/>
    <w:pitch w:val="variable"/>
    <w:sig w:usb0="E0002AFF" w:usb1="C000247B" w:usb2="00000009" w:usb3="00000000" w:csb0="000001FF" w:csb1="00000000"/>
  </w:font>
  <w:font w:name="Californian FB">
    <w:panose1 w:val="0207040306080B030204"/>
    <w:charset w:val="4D"/>
    <w:family w:val="roman"/>
    <w:pitch w:val="variable"/>
    <w:sig w:usb0="00000003" w:usb1="00000000" w:usb2="00000000" w:usb3="00000000" w:csb0="00000001" w:csb1="00000000"/>
  </w:font>
  <w:font w:name="Tahoma">
    <w:altName w:val="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Adobe Caslon Pro">
    <w:altName w:val="Palatino Linotype"/>
    <w:panose1 w:val="020B0604020202020204"/>
    <w:charset w:val="4D"/>
    <w:family w:val="roman"/>
    <w:pitch w:val="variable"/>
    <w:sig w:usb0="00000007" w:usb1="00000001" w:usb2="00000000" w:usb3="00000000" w:csb0="00000093" w:csb1="00000000"/>
  </w:font>
  <w:font w:name="Lustria">
    <w:altName w:val="Calibri"/>
    <w:panose1 w:val="020B0604020202020204"/>
    <w:charset w:val="00"/>
    <w:family w:val="auto"/>
    <w:pitch w:val="default"/>
  </w:font>
  <w:font w:name="Garamond">
    <w:panose1 w:val="02020404030301010803"/>
    <w:charset w:val="00"/>
    <w:family w:val="roman"/>
    <w:pitch w:val="variable"/>
    <w:sig w:usb0="00000287" w:usb1="00000002" w:usb2="00000000" w:usb3="00000000" w:csb0="0000009F" w:csb1="00000000"/>
  </w:font>
  <w:font w:name="Trajan Pro">
    <w:altName w:val="Cambria"/>
    <w:panose1 w:val="020B0604020202020204"/>
    <w:charset w:val="4D"/>
    <w:family w:val="roman"/>
    <w:notTrueType/>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5C811E" w14:textId="77777777" w:rsidR="00A07DFD" w:rsidRDefault="00A07DF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2FFEA" w14:textId="77777777" w:rsidR="00A07DFD" w:rsidRDefault="00A07DFD">
    <w:pPr>
      <w:pStyle w:val="Foote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E31377" w14:textId="77777777" w:rsidR="005B0FA0" w:rsidRDefault="005B0FA0" w:rsidP="00566A17">
    <w:pPr>
      <w:pBdr>
        <w:top w:val="nil"/>
        <w:left w:val="nil"/>
        <w:bottom w:val="nil"/>
        <w:right w:val="nil"/>
        <w:between w:val="nil"/>
      </w:pBdr>
      <w:tabs>
        <w:tab w:val="center" w:pos="4680"/>
        <w:tab w:val="right" w:pos="9360"/>
      </w:tabs>
      <w:spacing w:line="240" w:lineRule="auto"/>
      <w:ind w:leftChars="0" w:left="2" w:hanging="2"/>
      <w:rPr>
        <w:rFonts w:ascii="Garamond" w:eastAsia="Lustria" w:hAnsi="Garamond" w:cs="Lustria"/>
        <w:sz w:val="18"/>
        <w:szCs w:val="18"/>
      </w:rPr>
    </w:pPr>
  </w:p>
  <w:p w14:paraId="59944CD0" w14:textId="77777777" w:rsidR="005B0FA0" w:rsidRDefault="005B0FA0" w:rsidP="000930EE">
    <w:pPr>
      <w:pBdr>
        <w:top w:val="nil"/>
        <w:left w:val="nil"/>
        <w:bottom w:val="nil"/>
        <w:right w:val="nil"/>
        <w:between w:val="nil"/>
      </w:pBdr>
      <w:tabs>
        <w:tab w:val="center" w:pos="4680"/>
        <w:tab w:val="right" w:pos="9360"/>
      </w:tabs>
      <w:spacing w:line="240" w:lineRule="auto"/>
      <w:ind w:left="0" w:hanging="2"/>
      <w:rPr>
        <w:rFonts w:ascii="Garamond" w:eastAsia="Lustria" w:hAnsi="Garamond" w:cs="Lustria"/>
        <w:sz w:val="18"/>
        <w:szCs w:val="18"/>
      </w:rPr>
    </w:pPr>
  </w:p>
  <w:p w14:paraId="3FB6BA53" w14:textId="77777777" w:rsidR="005B0FA0" w:rsidRDefault="005B0FA0" w:rsidP="000930EE">
    <w:pPr>
      <w:pBdr>
        <w:top w:val="nil"/>
        <w:left w:val="nil"/>
        <w:bottom w:val="nil"/>
        <w:right w:val="nil"/>
        <w:between w:val="nil"/>
      </w:pBdr>
      <w:tabs>
        <w:tab w:val="center" w:pos="4680"/>
        <w:tab w:val="right" w:pos="9360"/>
      </w:tabs>
      <w:spacing w:line="240" w:lineRule="auto"/>
      <w:ind w:left="0" w:hanging="2"/>
      <w:rPr>
        <w:rFonts w:ascii="Garamond" w:eastAsia="Lustria" w:hAnsi="Garamond" w:cs="Lustria"/>
        <w:sz w:val="18"/>
        <w:szCs w:val="18"/>
      </w:rPr>
    </w:pPr>
  </w:p>
  <w:p w14:paraId="1E51569E" w14:textId="38FAE9A4" w:rsidR="00AA0F33" w:rsidRPr="007D32B7" w:rsidRDefault="007D32B7" w:rsidP="00566A17">
    <w:pPr>
      <w:tabs>
        <w:tab w:val="center" w:pos="4680"/>
        <w:tab w:val="right" w:pos="9360"/>
      </w:tabs>
      <w:spacing w:line="240" w:lineRule="auto"/>
      <w:ind w:leftChars="0" w:left="-709" w:right="6" w:firstLineChars="0" w:firstLine="0"/>
      <w:jc w:val="both"/>
      <w:rPr>
        <w:rFonts w:ascii="Garamond" w:eastAsia="Lustria" w:hAnsi="Garamond" w:cs="Lustria"/>
        <w:color w:val="000000"/>
        <w:sz w:val="18"/>
        <w:szCs w:val="18"/>
      </w:rPr>
    </w:pPr>
    <w:r w:rsidRPr="007D32B7">
      <w:rPr>
        <w:rFonts w:ascii="Garamond" w:eastAsia="Lustria" w:hAnsi="Garamond" w:cs="Lustria"/>
        <w:color w:val="000000"/>
        <w:sz w:val="18"/>
        <w:szCs w:val="18"/>
      </w:rPr>
      <w:t xml:space="preserve">Published by the University of </w:t>
    </w:r>
    <w:proofErr w:type="spellStart"/>
    <w:r w:rsidRPr="007D32B7">
      <w:rPr>
        <w:rFonts w:ascii="Garamond" w:eastAsia="Lustria" w:hAnsi="Garamond" w:cs="Lustria"/>
        <w:color w:val="000000"/>
        <w:sz w:val="18"/>
        <w:szCs w:val="18"/>
      </w:rPr>
      <w:t>Jember</w:t>
    </w:r>
    <w:proofErr w:type="spellEnd"/>
    <w:r w:rsidRPr="007D32B7">
      <w:rPr>
        <w:rFonts w:ascii="Garamond" w:eastAsia="Lustria" w:hAnsi="Garamond" w:cs="Lustria"/>
        <w:color w:val="000000"/>
        <w:sz w:val="18"/>
        <w:szCs w:val="18"/>
      </w:rPr>
      <w:t xml:space="preserve"> (Indonesia)</w:t>
    </w:r>
    <w:r w:rsidR="00B47C7F">
      <w:rPr>
        <w:rFonts w:ascii="Garamond" w:eastAsia="Lustria" w:hAnsi="Garamond" w:cs="Lustria"/>
        <w:color w:val="000000"/>
        <w:sz w:val="18"/>
        <w:szCs w:val="18"/>
      </w:rPr>
      <w:t>.</w:t>
    </w:r>
    <w:r w:rsidRPr="007D32B7">
      <w:rPr>
        <w:rFonts w:ascii="Garamond" w:eastAsia="Lustria" w:hAnsi="Garamond" w:cs="Lustria"/>
        <w:color w:val="000000"/>
        <w:sz w:val="18"/>
        <w:szCs w:val="18"/>
      </w:rPr>
      <w:t xml:space="preserve"> </w:t>
    </w:r>
    <w:r w:rsidR="00AA0F33" w:rsidRPr="007D32B7">
      <w:rPr>
        <w:rFonts w:ascii="Garamond" w:eastAsia="Lustria" w:hAnsi="Garamond" w:cs="Lustria"/>
        <w:color w:val="000000"/>
        <w:sz w:val="18"/>
        <w:szCs w:val="18"/>
      </w:rPr>
      <w:t xml:space="preserve">© </w:t>
    </w:r>
    <w:r w:rsidR="000930EE" w:rsidRPr="007D32B7">
      <w:rPr>
        <w:rFonts w:ascii="Garamond" w:eastAsia="Lustria" w:hAnsi="Garamond" w:cs="Lustria"/>
        <w:color w:val="000000"/>
        <w:sz w:val="18"/>
        <w:szCs w:val="18"/>
      </w:rPr>
      <w:t>T</w:t>
    </w:r>
    <w:r w:rsidR="00AA0F33" w:rsidRPr="007D32B7">
      <w:rPr>
        <w:rFonts w:ascii="Garamond" w:eastAsia="Lustria" w:hAnsi="Garamond" w:cs="Lustria"/>
        <w:color w:val="000000"/>
        <w:sz w:val="18"/>
        <w:szCs w:val="18"/>
      </w:rPr>
      <w:t xml:space="preserve">he Author(s), </w:t>
    </w:r>
    <w:r w:rsidR="00B47C7F">
      <w:rPr>
        <w:rFonts w:ascii="Garamond" w:eastAsia="Lustria" w:hAnsi="Garamond" w:cs="Lustria"/>
        <w:color w:val="000000"/>
        <w:sz w:val="18"/>
        <w:szCs w:val="18"/>
      </w:rPr>
      <w:t>2023.</w:t>
    </w:r>
    <w:r w:rsidR="000930EE" w:rsidRPr="007D32B7">
      <w:rPr>
        <w:rFonts w:ascii="Garamond" w:eastAsia="Lustria" w:hAnsi="Garamond" w:cs="Lustria"/>
        <w:color w:val="000000"/>
        <w:sz w:val="18"/>
        <w:szCs w:val="18"/>
      </w:rPr>
      <w:t xml:space="preserve"> </w:t>
    </w:r>
    <w:r w:rsidR="00AA0F33" w:rsidRPr="007D32B7">
      <w:rPr>
        <w:rFonts w:ascii="Garamond" w:eastAsia="Lustria" w:hAnsi="Garamond" w:cs="Lustria"/>
        <w:color w:val="000000"/>
        <w:sz w:val="18"/>
        <w:szCs w:val="18"/>
      </w:rPr>
      <w:t xml:space="preserve">This is an </w:t>
    </w:r>
    <w:r w:rsidR="000930EE" w:rsidRPr="007D32B7">
      <w:rPr>
        <w:rFonts w:ascii="Garamond" w:eastAsia="Lustria" w:hAnsi="Garamond" w:cs="Lustria"/>
        <w:color w:val="000000"/>
        <w:sz w:val="18"/>
        <w:szCs w:val="18"/>
      </w:rPr>
      <w:t>O</w:t>
    </w:r>
    <w:r w:rsidR="00AA0F33" w:rsidRPr="007D32B7">
      <w:rPr>
        <w:rFonts w:ascii="Garamond" w:eastAsia="Lustria" w:hAnsi="Garamond" w:cs="Lustria"/>
        <w:color w:val="000000"/>
        <w:sz w:val="18"/>
        <w:szCs w:val="18"/>
      </w:rPr>
      <w:t>pen</w:t>
    </w:r>
    <w:r w:rsidR="000930EE" w:rsidRPr="007D32B7">
      <w:rPr>
        <w:rFonts w:ascii="Garamond" w:eastAsia="Lustria" w:hAnsi="Garamond" w:cs="Lustria"/>
        <w:color w:val="000000"/>
        <w:sz w:val="18"/>
        <w:szCs w:val="18"/>
      </w:rPr>
      <w:t xml:space="preserve"> A</w:t>
    </w:r>
    <w:r w:rsidR="00AA0F33" w:rsidRPr="007D32B7">
      <w:rPr>
        <w:rFonts w:ascii="Garamond" w:eastAsia="Lustria" w:hAnsi="Garamond" w:cs="Lustria"/>
        <w:color w:val="000000"/>
        <w:sz w:val="18"/>
        <w:szCs w:val="18"/>
      </w:rPr>
      <w:t xml:space="preserve">ccess article, distributed under the terms of </w:t>
    </w:r>
    <w:r w:rsidR="000930EE" w:rsidRPr="007D32B7">
      <w:rPr>
        <w:rFonts w:ascii="Garamond" w:eastAsia="Lustria" w:hAnsi="Garamond" w:cs="Lustria"/>
        <w:color w:val="000000"/>
        <w:sz w:val="18"/>
        <w:szCs w:val="18"/>
      </w:rPr>
      <w:t>Creative Commons Attribution-</w:t>
    </w:r>
    <w:proofErr w:type="spellStart"/>
    <w:r w:rsidR="000930EE" w:rsidRPr="007D32B7">
      <w:rPr>
        <w:rFonts w:ascii="Garamond" w:eastAsia="Lustria" w:hAnsi="Garamond" w:cs="Lustria"/>
        <w:color w:val="000000"/>
        <w:sz w:val="18"/>
        <w:szCs w:val="18"/>
      </w:rPr>
      <w:t>ShareAlike</w:t>
    </w:r>
    <w:proofErr w:type="spellEnd"/>
    <w:r w:rsidR="000930EE" w:rsidRPr="007D32B7">
      <w:rPr>
        <w:rFonts w:ascii="Garamond" w:eastAsia="Lustria" w:hAnsi="Garamond" w:cs="Lustria"/>
        <w:color w:val="000000"/>
        <w:sz w:val="18"/>
        <w:szCs w:val="18"/>
      </w:rPr>
      <w:t xml:space="preserve"> 4.0 International license</w:t>
    </w:r>
    <w:r w:rsidR="00AA0F33" w:rsidRPr="007D32B7">
      <w:rPr>
        <w:rFonts w:ascii="Garamond" w:eastAsia="Lustria" w:hAnsi="Garamond" w:cs="Lustria"/>
        <w:color w:val="000000"/>
        <w:sz w:val="18"/>
        <w:szCs w:val="18"/>
      </w:rPr>
      <w:t xml:space="preserve"> (</w:t>
    </w:r>
    <w:hyperlink r:id="rId1" w:history="1">
      <w:r w:rsidR="000930EE" w:rsidRPr="007D32B7">
        <w:rPr>
          <w:rStyle w:val="Hyperlink"/>
          <w:rFonts w:ascii="Garamond" w:eastAsia="Lustria" w:hAnsi="Garamond" w:cs="Lustria"/>
          <w:sz w:val="18"/>
          <w:szCs w:val="18"/>
        </w:rPr>
        <w:t>http://creativecommons.org/licenses/by-sa/4.0</w:t>
      </w:r>
    </w:hyperlink>
    <w:r w:rsidR="00AA0F33" w:rsidRPr="007D32B7">
      <w:rPr>
        <w:rFonts w:ascii="Garamond" w:eastAsia="Lustria" w:hAnsi="Garamond" w:cs="Lustria"/>
        <w:color w:val="000000"/>
        <w:sz w:val="18"/>
        <w:szCs w:val="18"/>
      </w:rPr>
      <w:t>)</w:t>
    </w:r>
    <w:r w:rsidR="000930EE" w:rsidRPr="007D32B7">
      <w:rPr>
        <w:rFonts w:ascii="Garamond" w:eastAsia="Lustria" w:hAnsi="Garamond" w:cs="Lustria"/>
        <w:color w:val="000000"/>
        <w:sz w:val="18"/>
        <w:szCs w:val="18"/>
      </w:rPr>
      <w:t>.</w:t>
    </w:r>
  </w:p>
  <w:p w14:paraId="39CEA636" w14:textId="3174B428" w:rsidR="00A07DFD" w:rsidRPr="00701324" w:rsidRDefault="00A07DFD" w:rsidP="009D5719">
    <w:pPr>
      <w:pBdr>
        <w:top w:val="nil"/>
        <w:left w:val="nil"/>
        <w:bottom w:val="nil"/>
        <w:right w:val="nil"/>
        <w:between w:val="nil"/>
      </w:pBdr>
      <w:tabs>
        <w:tab w:val="center" w:pos="4680"/>
        <w:tab w:val="right" w:pos="9360"/>
      </w:tabs>
      <w:spacing w:line="240" w:lineRule="auto"/>
      <w:ind w:leftChars="-354" w:left="-850" w:right="-705" w:firstLineChars="0" w:firstLine="0"/>
      <w:jc w:val="both"/>
      <w:rPr>
        <w:rFonts w:ascii="Garamond" w:eastAsia="Lustria" w:hAnsi="Garamond" w:cs="Lustria"/>
        <w:color w:val="000000"/>
        <w:sz w:val="18"/>
        <w:szCs w:val="18"/>
      </w:rPr>
    </w:pPr>
  </w:p>
  <w:p w14:paraId="3F3B1C65" w14:textId="77777777" w:rsidR="005B0FA0" w:rsidRPr="005B0FA0" w:rsidRDefault="005B0FA0" w:rsidP="005B0FA0">
    <w:pPr>
      <w:pBdr>
        <w:top w:val="nil"/>
        <w:left w:val="nil"/>
        <w:bottom w:val="nil"/>
        <w:right w:val="nil"/>
        <w:between w:val="nil"/>
      </w:pBdr>
      <w:tabs>
        <w:tab w:val="center" w:pos="4680"/>
        <w:tab w:val="right" w:pos="9360"/>
      </w:tabs>
      <w:spacing w:line="240" w:lineRule="auto"/>
      <w:ind w:leftChars="-532" w:left="-1275" w:hanging="2"/>
      <w:rPr>
        <w:rFonts w:ascii="Garamond" w:eastAsia="Lustria" w:hAnsi="Garamond" w:cs="Lustria"/>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7F113F" w14:textId="77777777" w:rsidR="002851E1" w:rsidRDefault="002851E1">
      <w:pPr>
        <w:spacing w:line="240" w:lineRule="auto"/>
        <w:ind w:left="0" w:hanging="2"/>
      </w:pPr>
      <w:r>
        <w:separator/>
      </w:r>
    </w:p>
  </w:footnote>
  <w:footnote w:type="continuationSeparator" w:id="0">
    <w:p w14:paraId="0768B461" w14:textId="77777777" w:rsidR="002851E1" w:rsidRDefault="002851E1">
      <w:pPr>
        <w:spacing w:line="240" w:lineRule="auto"/>
        <w:ind w:left="0" w:hanging="2"/>
      </w:pPr>
      <w:r>
        <w:continuationSeparator/>
      </w:r>
    </w:p>
  </w:footnote>
  <w:footnote w:id="1">
    <w:p w14:paraId="263AE061" w14:textId="77777777" w:rsidR="002D384B" w:rsidRPr="006268D0" w:rsidRDefault="002D384B" w:rsidP="002D384B">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 xml:space="preserve"> Graeme Hugo, George Tan, Caven J.N. </w:t>
      </w:r>
      <w:r w:rsidRPr="008276EB">
        <w:rPr>
          <w:i/>
          <w:iCs/>
          <w:noProof/>
          <w:sz w:val="18"/>
          <w:szCs w:val="18"/>
          <w:lang w:val="en-GB"/>
        </w:rPr>
        <w:t>Indonesia as a transit country in irregular migration to Australia</w:t>
      </w:r>
      <w:r w:rsidRPr="006268D0">
        <w:rPr>
          <w:noProof/>
          <w:sz w:val="18"/>
          <w:szCs w:val="18"/>
          <w:lang w:val="en-GB"/>
        </w:rPr>
        <w:t>. In M. McAuliffe &amp; K. Koser (Eds</w:t>
      </w:r>
      <w:r w:rsidRPr="008276EB">
        <w:rPr>
          <w:noProof/>
          <w:sz w:val="18"/>
          <w:szCs w:val="18"/>
          <w:lang w:val="en-GB"/>
        </w:rPr>
        <w:t>.), A Long Way to Go: Irregular Migration Patterns, Processes, Drivers and Decision-making</w:t>
      </w:r>
      <w:r w:rsidRPr="006268D0">
        <w:rPr>
          <w:noProof/>
          <w:sz w:val="18"/>
          <w:szCs w:val="18"/>
          <w:lang w:val="en-GB"/>
        </w:rPr>
        <w:t xml:space="preserve"> </w:t>
      </w:r>
      <w:r>
        <w:rPr>
          <w:noProof/>
          <w:sz w:val="18"/>
          <w:szCs w:val="18"/>
          <w:lang w:val="en-GB"/>
        </w:rPr>
        <w:t>(</w:t>
      </w:r>
      <w:r w:rsidRPr="006268D0">
        <w:rPr>
          <w:noProof/>
          <w:sz w:val="18"/>
          <w:szCs w:val="18"/>
          <w:lang w:val="en-GB"/>
        </w:rPr>
        <w:t>ANU Press.2017)</w:t>
      </w:r>
      <w:r>
        <w:rPr>
          <w:noProof/>
          <w:sz w:val="18"/>
          <w:szCs w:val="18"/>
          <w:lang w:val="en-GB"/>
        </w:rPr>
        <w:t xml:space="preserve"> 167</w:t>
      </w:r>
      <w:r w:rsidRPr="006268D0">
        <w:rPr>
          <w:noProof/>
          <w:sz w:val="18"/>
          <w:szCs w:val="18"/>
          <w:lang w:val="en-GB"/>
        </w:rPr>
        <w:t xml:space="preserve">  </w:t>
      </w:r>
      <w:r w:rsidRPr="008276EB">
        <w:rPr>
          <w:noProof/>
          <w:color w:val="C00000"/>
          <w:sz w:val="18"/>
          <w:szCs w:val="18"/>
          <w:lang w:val="en-GB"/>
        </w:rPr>
        <w:t>https://doi.org/10.22459/LWG.12.2017.07</w:t>
      </w:r>
    </w:p>
    <w:p w14:paraId="3BBEAE8C" w14:textId="77777777" w:rsidR="002D384B" w:rsidRPr="006268D0" w:rsidRDefault="002D384B" w:rsidP="002D384B">
      <w:pPr>
        <w:pStyle w:val="FootnoteText"/>
        <w:ind w:left="0" w:hanging="2"/>
        <w:jc w:val="both"/>
        <w:rPr>
          <w:sz w:val="18"/>
          <w:szCs w:val="18"/>
        </w:rPr>
      </w:pPr>
    </w:p>
  </w:footnote>
  <w:footnote w:id="2">
    <w:p w14:paraId="1D3B0B60" w14:textId="77777777" w:rsidR="002D384B" w:rsidRPr="006268D0" w:rsidRDefault="002D384B" w:rsidP="002D384B">
      <w:pPr>
        <w:pStyle w:val="FootnoteText"/>
        <w:ind w:left="0" w:hanging="2"/>
        <w:jc w:val="both"/>
        <w:rPr>
          <w:sz w:val="18"/>
          <w:szCs w:val="18"/>
        </w:rPr>
      </w:pPr>
      <w:r w:rsidRPr="006268D0">
        <w:rPr>
          <w:rStyle w:val="FootnoteReference"/>
          <w:sz w:val="18"/>
          <w:szCs w:val="18"/>
        </w:rPr>
        <w:footnoteRef/>
      </w:r>
      <w:r>
        <w:rPr>
          <w:noProof/>
          <w:sz w:val="18"/>
          <w:szCs w:val="18"/>
          <w:lang w:val="en-GB"/>
        </w:rPr>
        <w:t xml:space="preserve"> </w:t>
      </w:r>
      <w:r w:rsidRPr="006268D0">
        <w:rPr>
          <w:noProof/>
          <w:sz w:val="18"/>
          <w:szCs w:val="18"/>
          <w:lang w:val="en-GB"/>
        </w:rPr>
        <w:t>T. Wahyun.</w:t>
      </w:r>
      <w:r w:rsidRPr="006268D0">
        <w:rPr>
          <w:i/>
          <w:iCs/>
          <w:noProof/>
          <w:sz w:val="18"/>
          <w:szCs w:val="18"/>
          <w:lang w:val="en-GB"/>
        </w:rPr>
        <w:t xml:space="preserve"> Jumlah Pengungsi di Indonesia Meningkat</w:t>
      </w:r>
      <w:r w:rsidRPr="006268D0">
        <w:rPr>
          <w:noProof/>
          <w:sz w:val="18"/>
          <w:szCs w:val="18"/>
          <w:lang w:val="en-GB"/>
        </w:rPr>
        <w:t xml:space="preserve">. </w:t>
      </w:r>
      <w:r>
        <w:rPr>
          <w:noProof/>
          <w:sz w:val="18"/>
          <w:szCs w:val="18"/>
          <w:lang w:val="en-GB"/>
        </w:rPr>
        <w:t xml:space="preserve">(2015) </w:t>
      </w:r>
      <w:r w:rsidRPr="007F3763">
        <w:rPr>
          <w:noProof/>
          <w:color w:val="C00000"/>
          <w:sz w:val="18"/>
          <w:szCs w:val="18"/>
          <w:lang w:val="en-GB"/>
        </w:rPr>
        <w:t>https://www.cnnindonesia.com/nasional/20150728204221-20-68699/unhcr-jumlah-pengungsi-di-indonesia-</w:t>
      </w:r>
      <w:r w:rsidRPr="006268D0">
        <w:rPr>
          <w:noProof/>
          <w:sz w:val="18"/>
          <w:szCs w:val="18"/>
          <w:lang w:val="en-GB"/>
        </w:rPr>
        <w:t>meningkat/</w:t>
      </w:r>
    </w:p>
  </w:footnote>
  <w:footnote w:id="3">
    <w:p w14:paraId="7D302588" w14:textId="77777777" w:rsidR="002D384B" w:rsidRPr="00D3464A" w:rsidRDefault="002D384B" w:rsidP="002D384B">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 xml:space="preserve">Human Rights Watch. </w:t>
      </w:r>
      <w:r>
        <w:rPr>
          <w:noProof/>
          <w:sz w:val="18"/>
          <w:szCs w:val="18"/>
          <w:lang w:val="en-GB"/>
        </w:rPr>
        <w:t>“</w:t>
      </w:r>
      <w:r w:rsidRPr="006268D0">
        <w:rPr>
          <w:i/>
          <w:iCs/>
          <w:noProof/>
          <w:sz w:val="18"/>
          <w:szCs w:val="18"/>
          <w:lang w:val="en-GB"/>
        </w:rPr>
        <w:t>World Report 2015: World Report 2015: Indonesia</w:t>
      </w:r>
      <w:r>
        <w:rPr>
          <w:i/>
          <w:iCs/>
          <w:noProof/>
          <w:sz w:val="18"/>
          <w:szCs w:val="18"/>
          <w:lang w:val="en-GB"/>
        </w:rPr>
        <w:t>”</w:t>
      </w:r>
      <w:r w:rsidRPr="006268D0">
        <w:rPr>
          <w:i/>
          <w:iCs/>
          <w:noProof/>
          <w:sz w:val="18"/>
          <w:szCs w:val="18"/>
          <w:lang w:val="en-GB"/>
        </w:rPr>
        <w:t xml:space="preserve">  Human Rights Watch</w:t>
      </w:r>
      <w:r w:rsidRPr="006268D0">
        <w:rPr>
          <w:noProof/>
          <w:sz w:val="18"/>
          <w:szCs w:val="18"/>
          <w:lang w:val="en-GB"/>
        </w:rPr>
        <w:t xml:space="preserve">. </w:t>
      </w:r>
      <w:r>
        <w:rPr>
          <w:noProof/>
          <w:sz w:val="18"/>
          <w:szCs w:val="18"/>
          <w:lang w:val="en-GB"/>
        </w:rPr>
        <w:t xml:space="preserve">(2014) </w:t>
      </w:r>
      <w:r w:rsidRPr="007F3763">
        <w:rPr>
          <w:noProof/>
          <w:color w:val="C00000"/>
          <w:sz w:val="18"/>
          <w:szCs w:val="18"/>
          <w:lang w:val="en-GB"/>
        </w:rPr>
        <w:t>https://www.hrw.org/id/world-report/2015/country-chapters/268176</w:t>
      </w:r>
    </w:p>
  </w:footnote>
  <w:footnote w:id="4">
    <w:p w14:paraId="3B1CD36F" w14:textId="77777777" w:rsidR="002D384B" w:rsidRPr="00D3464A" w:rsidRDefault="002D384B" w:rsidP="002D384B">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 xml:space="preserve">Adrian Edwards.  </w:t>
      </w:r>
      <w:r w:rsidRPr="007F3763">
        <w:rPr>
          <w:i/>
          <w:iCs/>
          <w:noProof/>
          <w:sz w:val="18"/>
          <w:szCs w:val="18"/>
          <w:lang w:val="en-GB"/>
        </w:rPr>
        <w:t>UNHCR - UNHCR report shows sharp increase in sea crossings in Bay of Bengal</w:t>
      </w:r>
      <w:r w:rsidRPr="006268D0">
        <w:rPr>
          <w:noProof/>
          <w:sz w:val="18"/>
          <w:szCs w:val="18"/>
          <w:lang w:val="en-GB"/>
        </w:rPr>
        <w:t xml:space="preserve">. </w:t>
      </w:r>
      <w:r>
        <w:rPr>
          <w:noProof/>
          <w:sz w:val="18"/>
          <w:szCs w:val="18"/>
          <w:lang w:val="en-GB"/>
        </w:rPr>
        <w:t>(</w:t>
      </w:r>
      <w:r w:rsidRPr="006268D0">
        <w:rPr>
          <w:noProof/>
          <w:sz w:val="18"/>
          <w:szCs w:val="18"/>
          <w:lang w:val="en-GB"/>
        </w:rPr>
        <w:t>Briefing Notes.</w:t>
      </w:r>
      <w:r>
        <w:rPr>
          <w:noProof/>
          <w:sz w:val="18"/>
          <w:szCs w:val="18"/>
          <w:lang w:val="en-GB"/>
        </w:rPr>
        <w:t xml:space="preserve"> 2015)</w:t>
      </w:r>
      <w:r w:rsidRPr="006268D0">
        <w:rPr>
          <w:noProof/>
          <w:sz w:val="18"/>
          <w:szCs w:val="18"/>
          <w:lang w:val="en-GB"/>
        </w:rPr>
        <w:t xml:space="preserve"> </w:t>
      </w:r>
      <w:r w:rsidRPr="007F3763">
        <w:rPr>
          <w:noProof/>
          <w:color w:val="C00000"/>
          <w:sz w:val="18"/>
          <w:szCs w:val="18"/>
          <w:lang w:val="en-GB"/>
        </w:rPr>
        <w:t>https://www.unhcr.org/news/briefing/2015/5/554c8adf9/unhcr-report-shows-sharp-increase-sea-crossings-bay-bengal.html</w:t>
      </w:r>
    </w:p>
  </w:footnote>
  <w:footnote w:id="5">
    <w:p w14:paraId="5BE81B12" w14:textId="77777777" w:rsidR="002D384B" w:rsidRPr="001148C3" w:rsidRDefault="002D384B" w:rsidP="002D384B">
      <w:pPr>
        <w:pStyle w:val="FootnoteText"/>
        <w:ind w:left="0" w:hanging="2"/>
        <w:jc w:val="both"/>
        <w:rPr>
          <w:lang w:val="hu-HU"/>
        </w:rPr>
      </w:pPr>
      <w:r>
        <w:rPr>
          <w:rStyle w:val="FootnoteReference"/>
        </w:rPr>
        <w:footnoteRef/>
      </w:r>
      <w:r>
        <w:t xml:space="preserve"> </w:t>
      </w:r>
      <w:r w:rsidRPr="001148C3">
        <w:rPr>
          <w:rFonts w:asciiTheme="minorHAnsi" w:hAnsiTheme="minorHAnsi" w:cstheme="minorHAnsi"/>
          <w:sz w:val="18"/>
          <w:szCs w:val="18"/>
        </w:rPr>
        <w:t xml:space="preserve">European Union Agency for </w:t>
      </w:r>
      <w:proofErr w:type="spellStart"/>
      <w:r w:rsidRPr="001148C3">
        <w:rPr>
          <w:rFonts w:asciiTheme="minorHAnsi" w:hAnsiTheme="minorHAnsi" w:cstheme="minorHAnsi"/>
          <w:sz w:val="18"/>
          <w:szCs w:val="18"/>
          <w:lang w:val="hu-HU"/>
        </w:rPr>
        <w:t>Fundamental</w:t>
      </w:r>
      <w:proofErr w:type="spellEnd"/>
      <w:r w:rsidRPr="001148C3">
        <w:rPr>
          <w:rFonts w:asciiTheme="minorHAnsi" w:hAnsiTheme="minorHAnsi" w:cstheme="minorHAnsi"/>
          <w:sz w:val="18"/>
          <w:szCs w:val="18"/>
          <w:lang w:val="hu-HU"/>
        </w:rPr>
        <w:t xml:space="preserve"> </w:t>
      </w:r>
      <w:proofErr w:type="spellStart"/>
      <w:r w:rsidRPr="001148C3">
        <w:rPr>
          <w:rFonts w:asciiTheme="minorHAnsi" w:hAnsiTheme="minorHAnsi" w:cstheme="minorHAnsi"/>
          <w:sz w:val="18"/>
          <w:szCs w:val="18"/>
          <w:lang w:val="hu-HU"/>
        </w:rPr>
        <w:t>Rights</w:t>
      </w:r>
      <w:proofErr w:type="spellEnd"/>
      <w:r w:rsidRPr="001148C3">
        <w:rPr>
          <w:rFonts w:asciiTheme="minorHAnsi" w:hAnsiTheme="minorHAnsi" w:cstheme="minorHAnsi"/>
          <w:sz w:val="18"/>
          <w:szCs w:val="18"/>
          <w:lang w:val="hu-HU"/>
        </w:rPr>
        <w:t xml:space="preserve">. </w:t>
      </w:r>
      <w:proofErr w:type="spellStart"/>
      <w:r w:rsidRPr="001148C3">
        <w:rPr>
          <w:rFonts w:asciiTheme="minorHAnsi" w:hAnsiTheme="minorHAnsi" w:cstheme="minorHAnsi"/>
          <w:i/>
          <w:iCs/>
          <w:sz w:val="18"/>
          <w:szCs w:val="18"/>
          <w:lang w:val="hu-HU"/>
        </w:rPr>
        <w:t>Monthly</w:t>
      </w:r>
      <w:proofErr w:type="spellEnd"/>
      <w:r w:rsidRPr="001148C3">
        <w:rPr>
          <w:rFonts w:asciiTheme="minorHAnsi" w:hAnsiTheme="minorHAnsi" w:cstheme="minorHAnsi"/>
          <w:i/>
          <w:iCs/>
          <w:sz w:val="18"/>
          <w:szCs w:val="18"/>
          <w:lang w:val="hu-HU"/>
        </w:rPr>
        <w:t xml:space="preserve"> </w:t>
      </w:r>
      <w:proofErr w:type="spellStart"/>
      <w:r w:rsidRPr="001148C3">
        <w:rPr>
          <w:rFonts w:asciiTheme="minorHAnsi" w:hAnsiTheme="minorHAnsi" w:cstheme="minorHAnsi"/>
          <w:i/>
          <w:iCs/>
          <w:sz w:val="18"/>
          <w:szCs w:val="18"/>
          <w:lang w:val="hu-HU"/>
        </w:rPr>
        <w:t>data</w:t>
      </w:r>
      <w:proofErr w:type="spellEnd"/>
      <w:r w:rsidRPr="001148C3">
        <w:rPr>
          <w:rFonts w:asciiTheme="minorHAnsi" w:hAnsiTheme="minorHAnsi" w:cstheme="minorHAnsi"/>
          <w:i/>
          <w:iCs/>
          <w:sz w:val="18"/>
          <w:szCs w:val="18"/>
          <w:lang w:val="hu-HU"/>
        </w:rPr>
        <w:t xml:space="preserve"> </w:t>
      </w:r>
      <w:proofErr w:type="spellStart"/>
      <w:r w:rsidRPr="001148C3">
        <w:rPr>
          <w:rFonts w:asciiTheme="minorHAnsi" w:hAnsiTheme="minorHAnsi" w:cstheme="minorHAnsi"/>
          <w:i/>
          <w:iCs/>
          <w:sz w:val="18"/>
          <w:szCs w:val="18"/>
          <w:lang w:val="hu-HU"/>
        </w:rPr>
        <w:t>collection</w:t>
      </w:r>
      <w:proofErr w:type="spellEnd"/>
      <w:r w:rsidRPr="001148C3">
        <w:rPr>
          <w:rFonts w:asciiTheme="minorHAnsi" w:hAnsiTheme="minorHAnsi" w:cstheme="minorHAnsi"/>
          <w:i/>
          <w:iCs/>
          <w:sz w:val="18"/>
          <w:szCs w:val="18"/>
          <w:lang w:val="hu-HU"/>
        </w:rPr>
        <w:t xml:space="preserve"> ont he </w:t>
      </w:r>
      <w:proofErr w:type="spellStart"/>
      <w:r w:rsidRPr="001148C3">
        <w:rPr>
          <w:rFonts w:asciiTheme="minorHAnsi" w:hAnsiTheme="minorHAnsi" w:cstheme="minorHAnsi"/>
          <w:i/>
          <w:iCs/>
          <w:sz w:val="18"/>
          <w:szCs w:val="18"/>
          <w:lang w:val="hu-HU"/>
        </w:rPr>
        <w:t>migration</w:t>
      </w:r>
      <w:proofErr w:type="spellEnd"/>
      <w:r w:rsidRPr="001148C3">
        <w:rPr>
          <w:rFonts w:asciiTheme="minorHAnsi" w:hAnsiTheme="minorHAnsi" w:cstheme="minorHAnsi"/>
          <w:i/>
          <w:iCs/>
          <w:sz w:val="18"/>
          <w:szCs w:val="18"/>
          <w:lang w:val="hu-HU"/>
        </w:rPr>
        <w:t xml:space="preserve"> </w:t>
      </w:r>
      <w:proofErr w:type="spellStart"/>
      <w:r w:rsidRPr="001148C3">
        <w:rPr>
          <w:rFonts w:asciiTheme="minorHAnsi" w:hAnsiTheme="minorHAnsi" w:cstheme="minorHAnsi"/>
          <w:i/>
          <w:iCs/>
          <w:sz w:val="18"/>
          <w:szCs w:val="18"/>
          <w:lang w:val="hu-HU"/>
        </w:rPr>
        <w:t>situation</w:t>
      </w:r>
      <w:proofErr w:type="spellEnd"/>
      <w:r w:rsidRPr="001148C3">
        <w:rPr>
          <w:rFonts w:asciiTheme="minorHAnsi" w:hAnsiTheme="minorHAnsi" w:cstheme="minorHAnsi"/>
          <w:i/>
          <w:iCs/>
          <w:sz w:val="18"/>
          <w:szCs w:val="18"/>
          <w:lang w:val="hu-HU"/>
        </w:rPr>
        <w:t xml:space="preserve"> in </w:t>
      </w:r>
      <w:proofErr w:type="spellStart"/>
      <w:r w:rsidRPr="001148C3">
        <w:rPr>
          <w:rFonts w:asciiTheme="minorHAnsi" w:hAnsiTheme="minorHAnsi" w:cstheme="minorHAnsi"/>
          <w:i/>
          <w:iCs/>
          <w:sz w:val="18"/>
          <w:szCs w:val="18"/>
          <w:lang w:val="hu-HU"/>
        </w:rPr>
        <w:t>the</w:t>
      </w:r>
      <w:proofErr w:type="spellEnd"/>
      <w:r w:rsidRPr="001148C3">
        <w:rPr>
          <w:rFonts w:asciiTheme="minorHAnsi" w:hAnsiTheme="minorHAnsi" w:cstheme="minorHAnsi"/>
          <w:i/>
          <w:iCs/>
          <w:sz w:val="18"/>
          <w:szCs w:val="18"/>
          <w:lang w:val="hu-HU"/>
        </w:rPr>
        <w:t xml:space="preserve"> EU.</w:t>
      </w:r>
      <w:r>
        <w:rPr>
          <w:rFonts w:asciiTheme="minorHAnsi" w:hAnsiTheme="minorHAnsi" w:cstheme="minorHAnsi"/>
          <w:i/>
          <w:iCs/>
          <w:sz w:val="18"/>
          <w:szCs w:val="18"/>
          <w:lang w:val="hu-HU"/>
        </w:rPr>
        <w:t xml:space="preserve"> 2016</w:t>
      </w:r>
      <w:r w:rsidRPr="001148C3">
        <w:rPr>
          <w:rFonts w:asciiTheme="minorHAnsi" w:hAnsiTheme="minorHAnsi" w:cstheme="minorHAnsi"/>
          <w:i/>
          <w:iCs/>
          <w:sz w:val="18"/>
          <w:szCs w:val="18"/>
          <w:lang w:val="hu-HU"/>
        </w:rPr>
        <w:t xml:space="preserve"> </w:t>
      </w:r>
      <w:hyperlink r:id="rId1" w:history="1">
        <w:r w:rsidRPr="007F3763">
          <w:rPr>
            <w:rStyle w:val="Hyperlink"/>
            <w:rFonts w:asciiTheme="minorHAnsi" w:hAnsiTheme="minorHAnsi" w:cstheme="minorHAnsi"/>
            <w:i/>
            <w:iCs/>
            <w:color w:val="C00000"/>
            <w:sz w:val="18"/>
            <w:szCs w:val="18"/>
            <w:lang w:val="hu-HU"/>
          </w:rPr>
          <w:t>https://fra.europa.eu/sites/default/files/fra_uploads/fra-november-2016-monthly-migration-highlights.pdf</w:t>
        </w:r>
      </w:hyperlink>
      <w:r w:rsidRPr="007F3763">
        <w:rPr>
          <w:rFonts w:asciiTheme="minorHAnsi" w:hAnsiTheme="minorHAnsi" w:cstheme="minorHAnsi"/>
          <w:i/>
          <w:iCs/>
          <w:color w:val="C00000"/>
          <w:sz w:val="18"/>
          <w:szCs w:val="18"/>
          <w:lang w:val="hu-HU"/>
        </w:rPr>
        <w:t>.</w:t>
      </w:r>
      <w:r w:rsidRPr="007F3763">
        <w:rPr>
          <w:i/>
          <w:iCs/>
          <w:color w:val="C00000"/>
          <w:lang w:val="hu-HU"/>
        </w:rPr>
        <w:t xml:space="preserve"> </w:t>
      </w:r>
    </w:p>
  </w:footnote>
  <w:footnote w:id="6">
    <w:p w14:paraId="726361E5" w14:textId="77777777" w:rsidR="002D384B" w:rsidRPr="00D3464A" w:rsidRDefault="002D384B" w:rsidP="002D384B">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Lauterpacht, S. E., &amp; Bethlehem, D.</w:t>
      </w:r>
      <w:r>
        <w:rPr>
          <w:noProof/>
          <w:sz w:val="18"/>
          <w:szCs w:val="18"/>
          <w:lang w:val="en-GB"/>
        </w:rPr>
        <w:t>”</w:t>
      </w:r>
      <w:r w:rsidRPr="006268D0">
        <w:rPr>
          <w:noProof/>
          <w:sz w:val="18"/>
          <w:szCs w:val="18"/>
          <w:lang w:val="en-GB"/>
        </w:rPr>
        <w:t xml:space="preserve">The Scope and Content of the Principle of Non-Refoulement: Opinion. In E. Feller, Türk. Volker, &amp; F. Nicholson (Eds.), </w:t>
      </w:r>
      <w:r w:rsidRPr="006268D0">
        <w:rPr>
          <w:i/>
          <w:iCs/>
          <w:noProof/>
          <w:sz w:val="18"/>
          <w:szCs w:val="18"/>
          <w:lang w:val="en-GB"/>
        </w:rPr>
        <w:t>Refugee Protection in International Law: UNHCR’s Global Consultations on International Protection</w:t>
      </w:r>
      <w:r w:rsidRPr="006268D0">
        <w:rPr>
          <w:noProof/>
          <w:sz w:val="18"/>
          <w:szCs w:val="18"/>
          <w:lang w:val="en-GB"/>
        </w:rPr>
        <w:t>.</w:t>
      </w:r>
      <w:r>
        <w:rPr>
          <w:noProof/>
          <w:sz w:val="18"/>
          <w:szCs w:val="18"/>
          <w:lang w:val="en-GB"/>
        </w:rPr>
        <w:t>”</w:t>
      </w:r>
      <w:r w:rsidRPr="006268D0">
        <w:rPr>
          <w:noProof/>
          <w:sz w:val="18"/>
          <w:szCs w:val="18"/>
          <w:lang w:val="en-GB"/>
        </w:rPr>
        <w:t xml:space="preserve"> </w:t>
      </w:r>
      <w:r w:rsidRPr="00383E58">
        <w:rPr>
          <w:i/>
          <w:iCs/>
          <w:noProof/>
          <w:sz w:val="18"/>
          <w:szCs w:val="18"/>
          <w:lang w:val="en-GB"/>
        </w:rPr>
        <w:t>Cambridge University Press.</w:t>
      </w:r>
      <w:r>
        <w:rPr>
          <w:noProof/>
          <w:sz w:val="18"/>
          <w:szCs w:val="18"/>
          <w:lang w:val="en-GB"/>
        </w:rPr>
        <w:t xml:space="preserve"> (2003)</w:t>
      </w:r>
    </w:p>
  </w:footnote>
  <w:footnote w:id="7">
    <w:p w14:paraId="69AF7EA8" w14:textId="77777777" w:rsidR="002D384B" w:rsidRPr="006268D0" w:rsidRDefault="002D384B" w:rsidP="002D384B">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Guy S. </w:t>
      </w:r>
      <w:r w:rsidRPr="006268D0">
        <w:rPr>
          <w:noProof/>
          <w:sz w:val="18"/>
          <w:szCs w:val="18"/>
          <w:lang w:val="en-GB"/>
        </w:rPr>
        <w:t xml:space="preserve">Goodwin-Gill &amp; Mcadam, J. </w:t>
      </w:r>
      <w:r>
        <w:rPr>
          <w:noProof/>
          <w:sz w:val="18"/>
          <w:szCs w:val="18"/>
          <w:lang w:val="en-GB"/>
        </w:rPr>
        <w:t>“</w:t>
      </w:r>
      <w:r w:rsidRPr="006268D0">
        <w:rPr>
          <w:noProof/>
          <w:sz w:val="18"/>
          <w:szCs w:val="18"/>
          <w:lang w:val="en-GB"/>
        </w:rPr>
        <w:t xml:space="preserve">The Refugee in International Law. In </w:t>
      </w:r>
      <w:r w:rsidRPr="00872F8B">
        <w:rPr>
          <w:noProof/>
          <w:sz w:val="18"/>
          <w:szCs w:val="18"/>
          <w:lang w:val="en-GB"/>
        </w:rPr>
        <w:t>EU Charter of Fundamental Rights-Extracts”</w:t>
      </w:r>
      <w:r w:rsidRPr="006268D0">
        <w:rPr>
          <w:noProof/>
          <w:sz w:val="18"/>
          <w:szCs w:val="18"/>
          <w:lang w:val="en-GB"/>
        </w:rPr>
        <w:t xml:space="preserve"> (Vol. 14). </w:t>
      </w:r>
      <w:r w:rsidRPr="00872F8B">
        <w:rPr>
          <w:i/>
          <w:iCs/>
          <w:noProof/>
          <w:sz w:val="18"/>
          <w:szCs w:val="18"/>
          <w:lang w:val="en-GB"/>
        </w:rPr>
        <w:t>Clarendon Press.</w:t>
      </w:r>
      <w:r>
        <w:rPr>
          <w:noProof/>
          <w:sz w:val="18"/>
          <w:szCs w:val="18"/>
          <w:lang w:val="en-GB"/>
        </w:rPr>
        <w:t xml:space="preserve"> (2000)</w:t>
      </w:r>
    </w:p>
  </w:footnote>
  <w:footnote w:id="8">
    <w:p w14:paraId="0C9AE59A" w14:textId="77777777" w:rsidR="002D384B" w:rsidRPr="006268D0" w:rsidRDefault="002D384B" w:rsidP="002D384B">
      <w:pPr>
        <w:pStyle w:val="FootnoteText"/>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sz w:val="18"/>
          <w:szCs w:val="18"/>
        </w:rPr>
        <w:fldChar w:fldCharType="begin" w:fldLock="1"/>
      </w:r>
      <w:r w:rsidRPr="006268D0">
        <w:rPr>
          <w:sz w:val="18"/>
          <w:szCs w:val="18"/>
        </w:rPr>
        <w:instrText>ADDIN CSL_CITATION {"citationItems":[{"id":"ITEM-1","itemData":{"id":"ITEM-1","issued":{"date-parts":[["1948"]]},"title":"Universal Declaration of Human Rights","type":"legislation"},"uris":["http://www.mendeley.com/documents/?uuid=6ef403b8-1ae6-3540-9eaa-80d9282ef78c"]}],"mendeley":{"formattedCitation":"(Universal Declaration of Human Rights, 1948)","manualFormatting":"(Universal Declaration of Human Rights, 1948, article 14)","plainTextFormattedCitation":"(Universal Declaration of Human Rights, 1948)","previouslyFormattedCitation":"(Universal Declaration of Human Rights, 1948)"},"properties":{"noteIndex":0},"schema":"https://github.com/citation-style-language/schema/raw/master/csl-citation.json"}</w:instrText>
      </w:r>
      <w:r w:rsidRPr="006268D0">
        <w:rPr>
          <w:sz w:val="18"/>
          <w:szCs w:val="18"/>
        </w:rPr>
        <w:fldChar w:fldCharType="separate"/>
      </w:r>
      <w:r w:rsidRPr="006268D0">
        <w:rPr>
          <w:noProof/>
          <w:sz w:val="18"/>
          <w:szCs w:val="18"/>
        </w:rPr>
        <w:t>(Universal Declaration of Human Rights, 1948, article 14)</w:t>
      </w:r>
      <w:r w:rsidRPr="006268D0">
        <w:rPr>
          <w:sz w:val="18"/>
          <w:szCs w:val="18"/>
        </w:rPr>
        <w:fldChar w:fldCharType="end"/>
      </w:r>
    </w:p>
  </w:footnote>
  <w:footnote w:id="9">
    <w:p w14:paraId="7B545F06" w14:textId="77777777" w:rsidR="00120943" w:rsidRPr="006268D0" w:rsidRDefault="00120943" w:rsidP="0012094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i/>
          <w:iCs/>
          <w:color w:val="000000" w:themeColor="text1"/>
          <w:sz w:val="18"/>
          <w:szCs w:val="18"/>
        </w:rPr>
        <w:t>Ibid</w:t>
      </w:r>
    </w:p>
  </w:footnote>
  <w:footnote w:id="10">
    <w:p w14:paraId="6ECE58D2" w14:textId="77777777" w:rsidR="00120943" w:rsidRPr="006268D0" w:rsidRDefault="00120943" w:rsidP="00120943">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Theo </w:t>
      </w:r>
      <w:r w:rsidRPr="006268D0">
        <w:rPr>
          <w:noProof/>
          <w:sz w:val="18"/>
          <w:szCs w:val="18"/>
          <w:lang w:val="en-GB"/>
        </w:rPr>
        <w:t xml:space="preserve">Huibers. </w:t>
      </w:r>
      <w:r w:rsidRPr="006268D0">
        <w:rPr>
          <w:i/>
          <w:iCs/>
          <w:noProof/>
          <w:sz w:val="18"/>
          <w:szCs w:val="18"/>
          <w:lang w:val="en-GB"/>
        </w:rPr>
        <w:t>Filsafat hukum</w:t>
      </w:r>
      <w:r w:rsidRPr="006268D0">
        <w:rPr>
          <w:noProof/>
          <w:sz w:val="18"/>
          <w:szCs w:val="18"/>
          <w:lang w:val="en-GB"/>
        </w:rPr>
        <w:t>. Kanisius.</w:t>
      </w:r>
      <w:r>
        <w:rPr>
          <w:noProof/>
          <w:sz w:val="18"/>
          <w:szCs w:val="18"/>
          <w:lang w:val="en-GB"/>
        </w:rPr>
        <w:t>1995</w:t>
      </w:r>
      <w:r w:rsidRPr="006268D0">
        <w:rPr>
          <w:noProof/>
          <w:sz w:val="18"/>
          <w:szCs w:val="18"/>
          <w:lang w:val="en-GB"/>
        </w:rPr>
        <w:t xml:space="preserve"> </w:t>
      </w:r>
      <w:r w:rsidRPr="00872F8B">
        <w:rPr>
          <w:noProof/>
          <w:color w:val="C00000"/>
          <w:sz w:val="18"/>
          <w:szCs w:val="18"/>
          <w:lang w:val="en-GB"/>
        </w:rPr>
        <w:t>https://library.ui.ac.id/detail?id=20229479</w:t>
      </w:r>
    </w:p>
  </w:footnote>
  <w:footnote w:id="11">
    <w:p w14:paraId="7D326300" w14:textId="77777777" w:rsidR="00120943" w:rsidRPr="006268D0" w:rsidRDefault="00120943" w:rsidP="00120943">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Geoffrey </w:t>
      </w:r>
      <w:r w:rsidRPr="006268D0">
        <w:rPr>
          <w:noProof/>
          <w:sz w:val="18"/>
          <w:szCs w:val="18"/>
          <w:lang w:val="en-GB"/>
        </w:rPr>
        <w:t>Robertson</w:t>
      </w:r>
      <w:r>
        <w:rPr>
          <w:noProof/>
          <w:sz w:val="18"/>
          <w:szCs w:val="18"/>
          <w:lang w:val="en-GB"/>
        </w:rPr>
        <w:t xml:space="preserve">. </w:t>
      </w:r>
      <w:r w:rsidRPr="006268D0">
        <w:rPr>
          <w:i/>
          <w:iCs/>
          <w:noProof/>
          <w:sz w:val="18"/>
          <w:szCs w:val="18"/>
          <w:lang w:val="en-GB"/>
        </w:rPr>
        <w:t>Kejahatan terhadap kemanusiaan perjuangan untuk mewujudkan keadilan global</w:t>
      </w:r>
      <w:r w:rsidRPr="006268D0">
        <w:rPr>
          <w:noProof/>
          <w:sz w:val="18"/>
          <w:szCs w:val="18"/>
          <w:lang w:val="en-GB"/>
        </w:rPr>
        <w:t>. Komisi Nasional Hak Asasi Manusia Republik Indonesia.</w:t>
      </w:r>
      <w:r>
        <w:rPr>
          <w:noProof/>
          <w:sz w:val="18"/>
          <w:szCs w:val="18"/>
          <w:lang w:val="en-GB"/>
        </w:rPr>
        <w:t xml:space="preserve"> 2002</w:t>
      </w:r>
    </w:p>
  </w:footnote>
  <w:footnote w:id="12">
    <w:p w14:paraId="110CFACD" w14:textId="77777777" w:rsidR="00120943" w:rsidRPr="006268D0" w:rsidRDefault="00120943" w:rsidP="0012094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James W Nickel</w:t>
      </w:r>
      <w:r>
        <w:rPr>
          <w:color w:val="000000" w:themeColor="text1"/>
          <w:sz w:val="18"/>
          <w:szCs w:val="18"/>
        </w:rPr>
        <w:t>,</w:t>
      </w:r>
      <w:r w:rsidRPr="006268D0">
        <w:rPr>
          <w:color w:val="000000" w:themeColor="text1"/>
          <w:sz w:val="18"/>
          <w:szCs w:val="18"/>
        </w:rPr>
        <w:t xml:space="preserve"> </w:t>
      </w:r>
      <w:proofErr w:type="spellStart"/>
      <w:r w:rsidRPr="006268D0">
        <w:rPr>
          <w:i/>
          <w:color w:val="000000" w:themeColor="text1"/>
          <w:sz w:val="18"/>
          <w:szCs w:val="18"/>
        </w:rPr>
        <w:t>Hak</w:t>
      </w:r>
      <w:proofErr w:type="spellEnd"/>
      <w:r w:rsidRPr="006268D0">
        <w:rPr>
          <w:i/>
          <w:color w:val="000000" w:themeColor="text1"/>
          <w:sz w:val="18"/>
          <w:szCs w:val="18"/>
        </w:rPr>
        <w:t xml:space="preserve"> </w:t>
      </w:r>
      <w:proofErr w:type="spellStart"/>
      <w:r w:rsidRPr="006268D0">
        <w:rPr>
          <w:i/>
          <w:color w:val="000000" w:themeColor="text1"/>
          <w:sz w:val="18"/>
          <w:szCs w:val="18"/>
        </w:rPr>
        <w:t>Asasi</w:t>
      </w:r>
      <w:proofErr w:type="spellEnd"/>
      <w:r w:rsidRPr="006268D0">
        <w:rPr>
          <w:i/>
          <w:color w:val="000000" w:themeColor="text1"/>
          <w:sz w:val="18"/>
          <w:szCs w:val="18"/>
        </w:rPr>
        <w:t xml:space="preserve"> </w:t>
      </w:r>
      <w:proofErr w:type="spellStart"/>
      <w:r w:rsidRPr="006268D0">
        <w:rPr>
          <w:i/>
          <w:color w:val="000000" w:themeColor="text1"/>
          <w:sz w:val="18"/>
          <w:szCs w:val="18"/>
        </w:rPr>
        <w:t>Manusia</w:t>
      </w:r>
      <w:proofErr w:type="spellEnd"/>
      <w:r w:rsidRPr="006268D0">
        <w:rPr>
          <w:i/>
          <w:color w:val="000000" w:themeColor="text1"/>
          <w:sz w:val="18"/>
          <w:szCs w:val="18"/>
        </w:rPr>
        <w:t xml:space="preserve">: </w:t>
      </w:r>
      <w:proofErr w:type="spellStart"/>
      <w:r w:rsidRPr="006268D0">
        <w:rPr>
          <w:i/>
          <w:color w:val="000000" w:themeColor="text1"/>
          <w:sz w:val="18"/>
          <w:szCs w:val="18"/>
        </w:rPr>
        <w:t>Refleksi</w:t>
      </w:r>
      <w:proofErr w:type="spellEnd"/>
      <w:r w:rsidRPr="006268D0">
        <w:rPr>
          <w:i/>
          <w:color w:val="000000" w:themeColor="text1"/>
          <w:sz w:val="18"/>
          <w:szCs w:val="18"/>
        </w:rPr>
        <w:t xml:space="preserve"> </w:t>
      </w:r>
      <w:proofErr w:type="spellStart"/>
      <w:r w:rsidRPr="006268D0">
        <w:rPr>
          <w:i/>
          <w:color w:val="000000" w:themeColor="text1"/>
          <w:sz w:val="18"/>
          <w:szCs w:val="18"/>
        </w:rPr>
        <w:t>Filosofis</w:t>
      </w:r>
      <w:proofErr w:type="spellEnd"/>
      <w:r w:rsidRPr="006268D0">
        <w:rPr>
          <w:i/>
          <w:color w:val="000000" w:themeColor="text1"/>
          <w:sz w:val="18"/>
          <w:szCs w:val="18"/>
        </w:rPr>
        <w:t xml:space="preserve"> </w:t>
      </w:r>
      <w:proofErr w:type="spellStart"/>
      <w:r w:rsidRPr="006268D0">
        <w:rPr>
          <w:i/>
          <w:color w:val="000000" w:themeColor="text1"/>
          <w:sz w:val="18"/>
          <w:szCs w:val="18"/>
        </w:rPr>
        <w:t>atas</w:t>
      </w:r>
      <w:proofErr w:type="spellEnd"/>
      <w:r w:rsidRPr="006268D0">
        <w:rPr>
          <w:i/>
          <w:color w:val="000000" w:themeColor="text1"/>
          <w:sz w:val="18"/>
          <w:szCs w:val="18"/>
        </w:rPr>
        <w:t xml:space="preserve"> </w:t>
      </w:r>
      <w:proofErr w:type="spellStart"/>
      <w:r w:rsidRPr="006268D0">
        <w:rPr>
          <w:i/>
          <w:color w:val="000000" w:themeColor="text1"/>
          <w:sz w:val="18"/>
          <w:szCs w:val="18"/>
        </w:rPr>
        <w:t>Deklarasi</w:t>
      </w:r>
      <w:proofErr w:type="spellEnd"/>
      <w:r w:rsidRPr="006268D0">
        <w:rPr>
          <w:i/>
          <w:color w:val="000000" w:themeColor="text1"/>
          <w:sz w:val="18"/>
          <w:szCs w:val="18"/>
        </w:rPr>
        <w:t xml:space="preserve"> Universal </w:t>
      </w:r>
      <w:proofErr w:type="spellStart"/>
      <w:r w:rsidRPr="006268D0">
        <w:rPr>
          <w:i/>
          <w:color w:val="000000" w:themeColor="text1"/>
          <w:sz w:val="18"/>
          <w:szCs w:val="18"/>
        </w:rPr>
        <w:t>Hak</w:t>
      </w:r>
      <w:proofErr w:type="spellEnd"/>
      <w:r w:rsidRPr="006268D0">
        <w:rPr>
          <w:i/>
          <w:color w:val="000000" w:themeColor="text1"/>
          <w:sz w:val="18"/>
          <w:szCs w:val="18"/>
        </w:rPr>
        <w:t xml:space="preserve"> </w:t>
      </w:r>
      <w:proofErr w:type="spellStart"/>
      <w:r w:rsidRPr="006268D0">
        <w:rPr>
          <w:i/>
          <w:color w:val="000000" w:themeColor="text1"/>
          <w:sz w:val="18"/>
          <w:szCs w:val="18"/>
        </w:rPr>
        <w:t>Asasi</w:t>
      </w:r>
      <w:proofErr w:type="spellEnd"/>
      <w:r w:rsidRPr="006268D0">
        <w:rPr>
          <w:i/>
          <w:color w:val="000000" w:themeColor="text1"/>
          <w:sz w:val="18"/>
          <w:szCs w:val="18"/>
        </w:rPr>
        <w:t xml:space="preserve"> </w:t>
      </w:r>
      <w:proofErr w:type="spellStart"/>
      <w:r w:rsidRPr="006268D0">
        <w:rPr>
          <w:i/>
          <w:color w:val="000000" w:themeColor="text1"/>
          <w:sz w:val="18"/>
          <w:szCs w:val="18"/>
        </w:rPr>
        <w:t>Manusia</w:t>
      </w:r>
      <w:proofErr w:type="spellEnd"/>
      <w:r w:rsidRPr="006268D0">
        <w:rPr>
          <w:i/>
          <w:color w:val="000000" w:themeColor="text1"/>
          <w:sz w:val="18"/>
          <w:szCs w:val="18"/>
        </w:rPr>
        <w:t xml:space="preserve"> </w:t>
      </w:r>
      <w:r>
        <w:rPr>
          <w:iCs/>
          <w:color w:val="000000" w:themeColor="text1"/>
          <w:sz w:val="18"/>
          <w:szCs w:val="18"/>
        </w:rPr>
        <w:t>(</w:t>
      </w:r>
      <w:r w:rsidRPr="006268D0">
        <w:rPr>
          <w:color w:val="000000" w:themeColor="text1"/>
          <w:sz w:val="18"/>
          <w:szCs w:val="18"/>
        </w:rPr>
        <w:t>Jakarta: PT. Gramedia. Nickel: 1996</w:t>
      </w:r>
      <w:r>
        <w:rPr>
          <w:color w:val="000000" w:themeColor="text1"/>
          <w:sz w:val="18"/>
          <w:szCs w:val="18"/>
        </w:rPr>
        <w:t xml:space="preserve">) </w:t>
      </w:r>
      <w:r w:rsidRPr="006268D0">
        <w:rPr>
          <w:color w:val="000000" w:themeColor="text1"/>
          <w:sz w:val="18"/>
          <w:szCs w:val="18"/>
        </w:rPr>
        <w:t>18-21</w:t>
      </w:r>
    </w:p>
  </w:footnote>
  <w:footnote w:id="13">
    <w:p w14:paraId="39FE516E" w14:textId="77777777" w:rsidR="00120943" w:rsidRPr="006268D0" w:rsidRDefault="00120943" w:rsidP="0012094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Jack </w:t>
      </w:r>
      <w:r w:rsidRPr="006268D0">
        <w:rPr>
          <w:color w:val="000000" w:themeColor="text1"/>
          <w:sz w:val="18"/>
          <w:szCs w:val="18"/>
        </w:rPr>
        <w:t>Donnelly</w:t>
      </w:r>
      <w:r>
        <w:rPr>
          <w:color w:val="000000" w:themeColor="text1"/>
          <w:sz w:val="18"/>
          <w:szCs w:val="18"/>
        </w:rPr>
        <w:t>,</w:t>
      </w:r>
      <w:r w:rsidRPr="006268D0">
        <w:rPr>
          <w:color w:val="000000" w:themeColor="text1"/>
          <w:sz w:val="18"/>
          <w:szCs w:val="18"/>
        </w:rPr>
        <w:t xml:space="preserve"> </w:t>
      </w:r>
      <w:r w:rsidRPr="006268D0">
        <w:rPr>
          <w:i/>
          <w:color w:val="000000" w:themeColor="text1"/>
          <w:sz w:val="18"/>
          <w:szCs w:val="18"/>
        </w:rPr>
        <w:t xml:space="preserve">Universal Human Rights in Theory and Practice. </w:t>
      </w:r>
      <w:r>
        <w:rPr>
          <w:iCs/>
          <w:color w:val="000000" w:themeColor="text1"/>
          <w:sz w:val="18"/>
          <w:szCs w:val="18"/>
        </w:rPr>
        <w:t>(</w:t>
      </w:r>
      <w:r w:rsidRPr="006268D0">
        <w:rPr>
          <w:color w:val="000000" w:themeColor="text1"/>
          <w:sz w:val="18"/>
          <w:szCs w:val="18"/>
        </w:rPr>
        <w:t>London: Cornell University. Donnelly: 1989</w:t>
      </w:r>
      <w:r>
        <w:rPr>
          <w:color w:val="000000" w:themeColor="text1"/>
          <w:sz w:val="18"/>
          <w:szCs w:val="18"/>
        </w:rPr>
        <w:t xml:space="preserve">) </w:t>
      </w:r>
      <w:r w:rsidRPr="006268D0">
        <w:rPr>
          <w:color w:val="000000" w:themeColor="text1"/>
          <w:sz w:val="18"/>
          <w:szCs w:val="18"/>
        </w:rPr>
        <w:t>2</w:t>
      </w:r>
    </w:p>
  </w:footnote>
  <w:footnote w:id="14">
    <w:p w14:paraId="6C86C352" w14:textId="77777777" w:rsidR="00120943" w:rsidRPr="006268D0" w:rsidRDefault="00120943" w:rsidP="00120943">
      <w:pPr>
        <w:pStyle w:val="ListParagraph"/>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proofErr w:type="spellStart"/>
      <w:r w:rsidRPr="006268D0">
        <w:rPr>
          <w:color w:val="000000" w:themeColor="text1"/>
          <w:sz w:val="18"/>
          <w:szCs w:val="18"/>
        </w:rPr>
        <w:t>Subawa</w:t>
      </w:r>
      <w:proofErr w:type="spellEnd"/>
      <w:r w:rsidRPr="006268D0">
        <w:rPr>
          <w:color w:val="000000" w:themeColor="text1"/>
          <w:sz w:val="18"/>
          <w:szCs w:val="18"/>
        </w:rPr>
        <w:t>, I Made</w:t>
      </w:r>
      <w:r>
        <w:rPr>
          <w:color w:val="000000" w:themeColor="text1"/>
          <w:sz w:val="18"/>
          <w:szCs w:val="18"/>
        </w:rPr>
        <w:t>, “</w:t>
      </w:r>
      <w:proofErr w:type="spellStart"/>
      <w:r w:rsidRPr="006268D0">
        <w:rPr>
          <w:color w:val="000000" w:themeColor="text1"/>
          <w:sz w:val="18"/>
          <w:szCs w:val="18"/>
        </w:rPr>
        <w:t>Hak</w:t>
      </w:r>
      <w:proofErr w:type="spellEnd"/>
      <w:r w:rsidRPr="006268D0">
        <w:rPr>
          <w:color w:val="000000" w:themeColor="text1"/>
          <w:sz w:val="18"/>
          <w:szCs w:val="18"/>
        </w:rPr>
        <w:t xml:space="preserve"> </w:t>
      </w:r>
      <w:proofErr w:type="spellStart"/>
      <w:r w:rsidRPr="006268D0">
        <w:rPr>
          <w:color w:val="000000" w:themeColor="text1"/>
          <w:sz w:val="18"/>
          <w:szCs w:val="18"/>
        </w:rPr>
        <w:t>Asasi</w:t>
      </w:r>
      <w:proofErr w:type="spellEnd"/>
      <w:r w:rsidRPr="006268D0">
        <w:rPr>
          <w:color w:val="000000" w:themeColor="text1"/>
          <w:sz w:val="18"/>
          <w:szCs w:val="18"/>
        </w:rPr>
        <w:t xml:space="preserve"> </w:t>
      </w:r>
      <w:proofErr w:type="spellStart"/>
      <w:r w:rsidRPr="006268D0">
        <w:rPr>
          <w:color w:val="000000" w:themeColor="text1"/>
          <w:sz w:val="18"/>
          <w:szCs w:val="18"/>
        </w:rPr>
        <w:t>Manusia</w:t>
      </w:r>
      <w:proofErr w:type="spellEnd"/>
      <w:r w:rsidRPr="006268D0">
        <w:rPr>
          <w:color w:val="000000" w:themeColor="text1"/>
          <w:sz w:val="18"/>
          <w:szCs w:val="18"/>
        </w:rPr>
        <w:t xml:space="preserve"> </w:t>
      </w:r>
      <w:proofErr w:type="spellStart"/>
      <w:r w:rsidRPr="006268D0">
        <w:rPr>
          <w:color w:val="000000" w:themeColor="text1"/>
          <w:sz w:val="18"/>
          <w:szCs w:val="18"/>
        </w:rPr>
        <w:t>Bidang</w:t>
      </w:r>
      <w:proofErr w:type="spellEnd"/>
      <w:r w:rsidRPr="006268D0">
        <w:rPr>
          <w:color w:val="000000" w:themeColor="text1"/>
          <w:sz w:val="18"/>
          <w:szCs w:val="18"/>
        </w:rPr>
        <w:t xml:space="preserve"> </w:t>
      </w:r>
      <w:proofErr w:type="spellStart"/>
      <w:r w:rsidRPr="006268D0">
        <w:rPr>
          <w:color w:val="000000" w:themeColor="text1"/>
          <w:sz w:val="18"/>
          <w:szCs w:val="18"/>
        </w:rPr>
        <w:t>Ekonomi</w:t>
      </w:r>
      <w:proofErr w:type="spellEnd"/>
      <w:r w:rsidRPr="006268D0">
        <w:rPr>
          <w:color w:val="000000" w:themeColor="text1"/>
          <w:sz w:val="18"/>
          <w:szCs w:val="18"/>
        </w:rPr>
        <w:t xml:space="preserve"> </w:t>
      </w:r>
      <w:proofErr w:type="spellStart"/>
      <w:r w:rsidRPr="006268D0">
        <w:rPr>
          <w:color w:val="000000" w:themeColor="text1"/>
          <w:sz w:val="18"/>
          <w:szCs w:val="18"/>
        </w:rPr>
        <w:t>Sosial</w:t>
      </w:r>
      <w:proofErr w:type="spellEnd"/>
      <w:r w:rsidRPr="006268D0">
        <w:rPr>
          <w:color w:val="000000" w:themeColor="text1"/>
          <w:sz w:val="18"/>
          <w:szCs w:val="18"/>
        </w:rPr>
        <w:t xml:space="preserve"> </w:t>
      </w:r>
      <w:proofErr w:type="spellStart"/>
      <w:r w:rsidRPr="006268D0">
        <w:rPr>
          <w:color w:val="000000" w:themeColor="text1"/>
          <w:sz w:val="18"/>
          <w:szCs w:val="18"/>
        </w:rPr>
        <w:t>Budaya</w:t>
      </w:r>
      <w:proofErr w:type="spellEnd"/>
      <w:r w:rsidRPr="006268D0">
        <w:rPr>
          <w:color w:val="000000" w:themeColor="text1"/>
          <w:sz w:val="18"/>
          <w:szCs w:val="18"/>
        </w:rPr>
        <w:t xml:space="preserve"> </w:t>
      </w:r>
      <w:proofErr w:type="spellStart"/>
      <w:r w:rsidRPr="006268D0">
        <w:rPr>
          <w:color w:val="000000" w:themeColor="text1"/>
          <w:sz w:val="18"/>
          <w:szCs w:val="18"/>
        </w:rPr>
        <w:t>Menurut</w:t>
      </w:r>
      <w:proofErr w:type="spellEnd"/>
      <w:r w:rsidRPr="006268D0">
        <w:rPr>
          <w:color w:val="000000" w:themeColor="text1"/>
          <w:sz w:val="18"/>
          <w:szCs w:val="18"/>
        </w:rPr>
        <w:t xml:space="preserve"> </w:t>
      </w:r>
      <w:proofErr w:type="spellStart"/>
      <w:r w:rsidRPr="006268D0">
        <w:rPr>
          <w:color w:val="000000" w:themeColor="text1"/>
          <w:sz w:val="18"/>
          <w:szCs w:val="18"/>
        </w:rPr>
        <w:t>Perubahan</w:t>
      </w:r>
      <w:proofErr w:type="spellEnd"/>
      <w:r w:rsidRPr="006268D0">
        <w:rPr>
          <w:color w:val="000000" w:themeColor="text1"/>
          <w:sz w:val="18"/>
          <w:szCs w:val="18"/>
        </w:rPr>
        <w:t xml:space="preserve"> UUD 1945. 33 (1)</w:t>
      </w:r>
      <w:r>
        <w:rPr>
          <w:color w:val="000000" w:themeColor="text1"/>
          <w:sz w:val="18"/>
          <w:szCs w:val="18"/>
        </w:rPr>
        <w:t xml:space="preserve">” </w:t>
      </w:r>
      <w:proofErr w:type="spellStart"/>
      <w:r w:rsidRPr="006268D0">
        <w:rPr>
          <w:i/>
          <w:color w:val="000000" w:themeColor="text1"/>
          <w:sz w:val="18"/>
          <w:szCs w:val="18"/>
        </w:rPr>
        <w:t>Jurnal</w:t>
      </w:r>
      <w:proofErr w:type="spellEnd"/>
      <w:r w:rsidRPr="006268D0">
        <w:rPr>
          <w:i/>
          <w:color w:val="000000" w:themeColor="text1"/>
          <w:sz w:val="18"/>
          <w:szCs w:val="18"/>
        </w:rPr>
        <w:t xml:space="preserve"> </w:t>
      </w:r>
      <w:proofErr w:type="spellStart"/>
      <w:r w:rsidRPr="006268D0">
        <w:rPr>
          <w:i/>
          <w:color w:val="000000" w:themeColor="text1"/>
          <w:sz w:val="18"/>
          <w:szCs w:val="18"/>
        </w:rPr>
        <w:t>Kertha</w:t>
      </w:r>
      <w:proofErr w:type="spellEnd"/>
      <w:r w:rsidRPr="006268D0">
        <w:rPr>
          <w:i/>
          <w:color w:val="000000" w:themeColor="text1"/>
          <w:sz w:val="18"/>
          <w:szCs w:val="18"/>
        </w:rPr>
        <w:t xml:space="preserve"> </w:t>
      </w:r>
      <w:proofErr w:type="spellStart"/>
      <w:r w:rsidRPr="006268D0">
        <w:rPr>
          <w:i/>
          <w:color w:val="000000" w:themeColor="text1"/>
          <w:sz w:val="18"/>
          <w:szCs w:val="18"/>
        </w:rPr>
        <w:t>Patrika</w:t>
      </w:r>
      <w:proofErr w:type="spellEnd"/>
      <w:r w:rsidRPr="006268D0">
        <w:rPr>
          <w:i/>
          <w:color w:val="000000" w:themeColor="text1"/>
          <w:sz w:val="18"/>
          <w:szCs w:val="18"/>
        </w:rPr>
        <w:t xml:space="preserve"> </w:t>
      </w:r>
      <w:r w:rsidRPr="006268D0">
        <w:rPr>
          <w:color w:val="000000" w:themeColor="text1"/>
          <w:sz w:val="18"/>
          <w:szCs w:val="18"/>
        </w:rPr>
        <w:t xml:space="preserve">1. </w:t>
      </w:r>
      <w:proofErr w:type="spellStart"/>
      <w:r w:rsidRPr="006268D0">
        <w:rPr>
          <w:color w:val="000000" w:themeColor="text1"/>
          <w:sz w:val="18"/>
          <w:szCs w:val="18"/>
        </w:rPr>
        <w:t>Subawa</w:t>
      </w:r>
      <w:proofErr w:type="spellEnd"/>
      <w:r w:rsidRPr="006268D0">
        <w:rPr>
          <w:color w:val="000000" w:themeColor="text1"/>
          <w:sz w:val="18"/>
          <w:szCs w:val="18"/>
        </w:rPr>
        <w:t xml:space="preserve">: </w:t>
      </w:r>
      <w:r>
        <w:rPr>
          <w:color w:val="000000" w:themeColor="text1"/>
          <w:sz w:val="18"/>
          <w:szCs w:val="18"/>
        </w:rPr>
        <w:t>(</w:t>
      </w:r>
      <w:r w:rsidRPr="006268D0">
        <w:rPr>
          <w:color w:val="000000" w:themeColor="text1"/>
          <w:sz w:val="18"/>
          <w:szCs w:val="18"/>
        </w:rPr>
        <w:t>2008</w:t>
      </w:r>
      <w:r>
        <w:rPr>
          <w:color w:val="000000" w:themeColor="text1"/>
          <w:sz w:val="18"/>
          <w:szCs w:val="18"/>
        </w:rPr>
        <w:t xml:space="preserve">) </w:t>
      </w:r>
      <w:r w:rsidRPr="006268D0">
        <w:rPr>
          <w:color w:val="000000" w:themeColor="text1"/>
          <w:sz w:val="18"/>
          <w:szCs w:val="18"/>
        </w:rPr>
        <w:t>3.</w:t>
      </w:r>
    </w:p>
  </w:footnote>
  <w:footnote w:id="15">
    <w:p w14:paraId="0900233E" w14:textId="77777777" w:rsidR="00120943" w:rsidRPr="006268D0" w:rsidRDefault="00120943" w:rsidP="0012094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 xml:space="preserve">Effendi </w:t>
      </w:r>
      <w:proofErr w:type="spellStart"/>
      <w:r w:rsidRPr="006268D0">
        <w:rPr>
          <w:color w:val="000000" w:themeColor="text1"/>
          <w:sz w:val="18"/>
          <w:szCs w:val="18"/>
        </w:rPr>
        <w:t>Masyhur</w:t>
      </w:r>
      <w:proofErr w:type="spellEnd"/>
      <w:r w:rsidRPr="006268D0">
        <w:rPr>
          <w:color w:val="000000" w:themeColor="text1"/>
          <w:sz w:val="18"/>
          <w:szCs w:val="18"/>
        </w:rPr>
        <w:t xml:space="preserve"> A. dan </w:t>
      </w:r>
      <w:proofErr w:type="spellStart"/>
      <w:r w:rsidRPr="006268D0">
        <w:rPr>
          <w:color w:val="000000" w:themeColor="text1"/>
          <w:sz w:val="18"/>
          <w:szCs w:val="18"/>
        </w:rPr>
        <w:t>Sukmana</w:t>
      </w:r>
      <w:proofErr w:type="spellEnd"/>
      <w:r w:rsidRPr="006268D0">
        <w:rPr>
          <w:color w:val="000000" w:themeColor="text1"/>
          <w:sz w:val="18"/>
          <w:szCs w:val="18"/>
        </w:rPr>
        <w:t xml:space="preserve">, </w:t>
      </w:r>
      <w:proofErr w:type="spellStart"/>
      <w:r w:rsidRPr="006268D0">
        <w:rPr>
          <w:color w:val="000000" w:themeColor="text1"/>
          <w:sz w:val="18"/>
          <w:szCs w:val="18"/>
        </w:rPr>
        <w:t>Taufani</w:t>
      </w:r>
      <w:proofErr w:type="spellEnd"/>
      <w:r w:rsidRPr="006268D0">
        <w:rPr>
          <w:color w:val="000000" w:themeColor="text1"/>
          <w:sz w:val="18"/>
          <w:szCs w:val="18"/>
        </w:rPr>
        <w:t>.</w:t>
      </w:r>
      <w:r>
        <w:rPr>
          <w:color w:val="000000" w:themeColor="text1"/>
          <w:sz w:val="18"/>
          <w:szCs w:val="18"/>
        </w:rPr>
        <w:t xml:space="preserve"> </w:t>
      </w:r>
      <w:r w:rsidRPr="006268D0">
        <w:rPr>
          <w:i/>
          <w:color w:val="000000" w:themeColor="text1"/>
          <w:sz w:val="18"/>
          <w:szCs w:val="18"/>
        </w:rPr>
        <w:t xml:space="preserve">HAM </w:t>
      </w:r>
      <w:proofErr w:type="spellStart"/>
      <w:r w:rsidRPr="006268D0">
        <w:rPr>
          <w:i/>
          <w:color w:val="000000" w:themeColor="text1"/>
          <w:sz w:val="18"/>
          <w:szCs w:val="18"/>
        </w:rPr>
        <w:t>dalam</w:t>
      </w:r>
      <w:proofErr w:type="spellEnd"/>
      <w:r w:rsidRPr="006268D0">
        <w:rPr>
          <w:i/>
          <w:color w:val="000000" w:themeColor="text1"/>
          <w:sz w:val="18"/>
          <w:szCs w:val="18"/>
        </w:rPr>
        <w:t xml:space="preserve"> </w:t>
      </w:r>
      <w:proofErr w:type="spellStart"/>
      <w:r w:rsidRPr="006268D0">
        <w:rPr>
          <w:i/>
          <w:color w:val="000000" w:themeColor="text1"/>
          <w:sz w:val="18"/>
          <w:szCs w:val="18"/>
        </w:rPr>
        <w:t>Dimensi</w:t>
      </w:r>
      <w:proofErr w:type="spellEnd"/>
      <w:r w:rsidRPr="006268D0">
        <w:rPr>
          <w:i/>
          <w:color w:val="000000" w:themeColor="text1"/>
          <w:sz w:val="18"/>
          <w:szCs w:val="18"/>
        </w:rPr>
        <w:t>/</w:t>
      </w:r>
      <w:proofErr w:type="spellStart"/>
      <w:r w:rsidRPr="006268D0">
        <w:rPr>
          <w:i/>
          <w:color w:val="000000" w:themeColor="text1"/>
          <w:sz w:val="18"/>
          <w:szCs w:val="18"/>
        </w:rPr>
        <w:t>Dinamika</w:t>
      </w:r>
      <w:proofErr w:type="spellEnd"/>
      <w:r w:rsidRPr="006268D0">
        <w:rPr>
          <w:i/>
          <w:color w:val="000000" w:themeColor="text1"/>
          <w:sz w:val="18"/>
          <w:szCs w:val="18"/>
        </w:rPr>
        <w:t xml:space="preserve"> </w:t>
      </w:r>
      <w:proofErr w:type="spellStart"/>
      <w:r w:rsidRPr="006268D0">
        <w:rPr>
          <w:i/>
          <w:color w:val="000000" w:themeColor="text1"/>
          <w:sz w:val="18"/>
          <w:szCs w:val="18"/>
        </w:rPr>
        <w:t>Yuridis</w:t>
      </w:r>
      <w:proofErr w:type="spellEnd"/>
      <w:r w:rsidRPr="006268D0">
        <w:rPr>
          <w:i/>
          <w:color w:val="000000" w:themeColor="text1"/>
          <w:sz w:val="18"/>
          <w:szCs w:val="18"/>
        </w:rPr>
        <w:t xml:space="preserve">, </w:t>
      </w:r>
      <w:proofErr w:type="spellStart"/>
      <w:r w:rsidRPr="006268D0">
        <w:rPr>
          <w:i/>
          <w:color w:val="000000" w:themeColor="text1"/>
          <w:sz w:val="18"/>
          <w:szCs w:val="18"/>
        </w:rPr>
        <w:t>Sosial</w:t>
      </w:r>
      <w:proofErr w:type="spellEnd"/>
      <w:r w:rsidRPr="006268D0">
        <w:rPr>
          <w:i/>
          <w:color w:val="000000" w:themeColor="text1"/>
          <w:sz w:val="18"/>
          <w:szCs w:val="18"/>
        </w:rPr>
        <w:t xml:space="preserve">, </w:t>
      </w:r>
      <w:proofErr w:type="spellStart"/>
      <w:r w:rsidRPr="006268D0">
        <w:rPr>
          <w:i/>
          <w:color w:val="000000" w:themeColor="text1"/>
          <w:sz w:val="18"/>
          <w:szCs w:val="18"/>
        </w:rPr>
        <w:t>Politik</w:t>
      </w:r>
      <w:proofErr w:type="spellEnd"/>
      <w:r w:rsidRPr="006268D0">
        <w:rPr>
          <w:i/>
          <w:color w:val="000000" w:themeColor="text1"/>
          <w:sz w:val="18"/>
          <w:szCs w:val="18"/>
        </w:rPr>
        <w:t xml:space="preserve">. </w:t>
      </w:r>
      <w:r>
        <w:rPr>
          <w:iCs/>
          <w:color w:val="000000" w:themeColor="text1"/>
          <w:sz w:val="18"/>
          <w:szCs w:val="18"/>
        </w:rPr>
        <w:t>(</w:t>
      </w:r>
      <w:r w:rsidRPr="006268D0">
        <w:rPr>
          <w:color w:val="000000" w:themeColor="text1"/>
          <w:sz w:val="18"/>
          <w:szCs w:val="18"/>
        </w:rPr>
        <w:t xml:space="preserve">Bogor: </w:t>
      </w:r>
      <w:proofErr w:type="spellStart"/>
      <w:r w:rsidRPr="006268D0">
        <w:rPr>
          <w:color w:val="000000" w:themeColor="text1"/>
          <w:sz w:val="18"/>
          <w:szCs w:val="18"/>
        </w:rPr>
        <w:t>Ghalia</w:t>
      </w:r>
      <w:proofErr w:type="spellEnd"/>
      <w:r w:rsidRPr="006268D0">
        <w:rPr>
          <w:color w:val="000000" w:themeColor="text1"/>
          <w:sz w:val="18"/>
          <w:szCs w:val="18"/>
        </w:rPr>
        <w:t xml:space="preserve"> Indonesia. Effendi and </w:t>
      </w:r>
      <w:proofErr w:type="spellStart"/>
      <w:r w:rsidRPr="006268D0">
        <w:rPr>
          <w:color w:val="000000" w:themeColor="text1"/>
          <w:sz w:val="18"/>
          <w:szCs w:val="18"/>
        </w:rPr>
        <w:t>Sukmana</w:t>
      </w:r>
      <w:proofErr w:type="spellEnd"/>
      <w:r w:rsidRPr="006268D0">
        <w:rPr>
          <w:color w:val="000000" w:themeColor="text1"/>
          <w:sz w:val="18"/>
          <w:szCs w:val="18"/>
        </w:rPr>
        <w:t>: 2007</w:t>
      </w:r>
      <w:r>
        <w:rPr>
          <w:color w:val="000000" w:themeColor="text1"/>
          <w:sz w:val="18"/>
          <w:szCs w:val="18"/>
        </w:rPr>
        <w:t xml:space="preserve">) </w:t>
      </w:r>
      <w:r w:rsidRPr="006268D0">
        <w:rPr>
          <w:color w:val="000000" w:themeColor="text1"/>
          <w:sz w:val="18"/>
          <w:szCs w:val="18"/>
        </w:rPr>
        <w:t>35.</w:t>
      </w:r>
    </w:p>
  </w:footnote>
  <w:footnote w:id="16">
    <w:p w14:paraId="6554BE23" w14:textId="77777777" w:rsidR="00120943" w:rsidRPr="006268D0" w:rsidRDefault="00120943" w:rsidP="0012094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proofErr w:type="gramStart"/>
      <w:r w:rsidRPr="006268D0">
        <w:rPr>
          <w:color w:val="000000" w:themeColor="text1"/>
          <w:sz w:val="18"/>
          <w:szCs w:val="18"/>
        </w:rPr>
        <w:t xml:space="preserve">Effendi  </w:t>
      </w:r>
      <w:proofErr w:type="spellStart"/>
      <w:r w:rsidRPr="006268D0">
        <w:rPr>
          <w:color w:val="000000" w:themeColor="text1"/>
          <w:sz w:val="18"/>
          <w:szCs w:val="18"/>
        </w:rPr>
        <w:t>Masyhur</w:t>
      </w:r>
      <w:proofErr w:type="spellEnd"/>
      <w:proofErr w:type="gramEnd"/>
      <w:r w:rsidRPr="006268D0">
        <w:rPr>
          <w:color w:val="000000" w:themeColor="text1"/>
          <w:sz w:val="18"/>
          <w:szCs w:val="18"/>
        </w:rPr>
        <w:t xml:space="preserve"> A.  </w:t>
      </w:r>
      <w:proofErr w:type="spellStart"/>
      <w:r w:rsidRPr="006268D0">
        <w:rPr>
          <w:i/>
          <w:color w:val="000000" w:themeColor="text1"/>
          <w:sz w:val="18"/>
          <w:szCs w:val="18"/>
        </w:rPr>
        <w:t>Hak</w:t>
      </w:r>
      <w:proofErr w:type="spellEnd"/>
      <w:r w:rsidRPr="006268D0">
        <w:rPr>
          <w:i/>
          <w:color w:val="000000" w:themeColor="text1"/>
          <w:sz w:val="18"/>
          <w:szCs w:val="18"/>
        </w:rPr>
        <w:t xml:space="preserve"> </w:t>
      </w:r>
      <w:proofErr w:type="spellStart"/>
      <w:r w:rsidRPr="006268D0">
        <w:rPr>
          <w:i/>
          <w:color w:val="000000" w:themeColor="text1"/>
          <w:sz w:val="18"/>
          <w:szCs w:val="18"/>
        </w:rPr>
        <w:t>Asasi</w:t>
      </w:r>
      <w:proofErr w:type="spellEnd"/>
      <w:r w:rsidRPr="006268D0">
        <w:rPr>
          <w:i/>
          <w:color w:val="000000" w:themeColor="text1"/>
          <w:sz w:val="18"/>
          <w:szCs w:val="18"/>
        </w:rPr>
        <w:t xml:space="preserve"> </w:t>
      </w:r>
      <w:proofErr w:type="spellStart"/>
      <w:r w:rsidRPr="006268D0">
        <w:rPr>
          <w:i/>
          <w:color w:val="000000" w:themeColor="text1"/>
          <w:sz w:val="18"/>
          <w:szCs w:val="18"/>
        </w:rPr>
        <w:t>Manusia</w:t>
      </w:r>
      <w:proofErr w:type="spellEnd"/>
      <w:r w:rsidRPr="006268D0">
        <w:rPr>
          <w:i/>
          <w:color w:val="000000" w:themeColor="text1"/>
          <w:sz w:val="18"/>
          <w:szCs w:val="18"/>
        </w:rPr>
        <w:t xml:space="preserve"> </w:t>
      </w:r>
      <w:proofErr w:type="spellStart"/>
      <w:r w:rsidRPr="006268D0">
        <w:rPr>
          <w:i/>
          <w:color w:val="000000" w:themeColor="text1"/>
          <w:sz w:val="18"/>
          <w:szCs w:val="18"/>
        </w:rPr>
        <w:t>dalam</w:t>
      </w:r>
      <w:proofErr w:type="spellEnd"/>
      <w:r w:rsidRPr="006268D0">
        <w:rPr>
          <w:i/>
          <w:color w:val="000000" w:themeColor="text1"/>
          <w:sz w:val="18"/>
          <w:szCs w:val="18"/>
        </w:rPr>
        <w:t xml:space="preserve"> Hukum Nasional dan </w:t>
      </w:r>
      <w:proofErr w:type="spellStart"/>
      <w:r w:rsidRPr="006268D0">
        <w:rPr>
          <w:i/>
          <w:color w:val="000000" w:themeColor="text1"/>
          <w:sz w:val="18"/>
          <w:szCs w:val="18"/>
        </w:rPr>
        <w:t>Internasional</w:t>
      </w:r>
      <w:proofErr w:type="spellEnd"/>
      <w:r w:rsidRPr="006268D0">
        <w:rPr>
          <w:i/>
          <w:color w:val="000000" w:themeColor="text1"/>
          <w:sz w:val="18"/>
          <w:szCs w:val="18"/>
        </w:rPr>
        <w:t xml:space="preserve">. </w:t>
      </w:r>
      <w:r>
        <w:rPr>
          <w:iCs/>
          <w:color w:val="000000" w:themeColor="text1"/>
          <w:sz w:val="18"/>
          <w:szCs w:val="18"/>
        </w:rPr>
        <w:t>(</w:t>
      </w:r>
      <w:r w:rsidRPr="006268D0">
        <w:rPr>
          <w:color w:val="000000" w:themeColor="text1"/>
          <w:sz w:val="18"/>
          <w:szCs w:val="18"/>
        </w:rPr>
        <w:t xml:space="preserve">Jakarta: </w:t>
      </w:r>
      <w:proofErr w:type="spellStart"/>
      <w:r w:rsidRPr="006268D0">
        <w:rPr>
          <w:color w:val="000000" w:themeColor="text1"/>
          <w:sz w:val="18"/>
          <w:szCs w:val="18"/>
        </w:rPr>
        <w:t>Ghalia</w:t>
      </w:r>
      <w:proofErr w:type="spellEnd"/>
      <w:r w:rsidRPr="006268D0">
        <w:rPr>
          <w:color w:val="000000" w:themeColor="text1"/>
          <w:sz w:val="18"/>
          <w:szCs w:val="18"/>
        </w:rPr>
        <w:t xml:space="preserve"> Indonesia. Effendi: 1994</w:t>
      </w:r>
      <w:r>
        <w:rPr>
          <w:color w:val="000000" w:themeColor="text1"/>
          <w:sz w:val="18"/>
          <w:szCs w:val="18"/>
        </w:rPr>
        <w:t xml:space="preserve">) </w:t>
      </w:r>
      <w:r w:rsidRPr="006268D0">
        <w:rPr>
          <w:color w:val="000000" w:themeColor="text1"/>
          <w:sz w:val="18"/>
          <w:szCs w:val="18"/>
        </w:rPr>
        <w:t>79.</w:t>
      </w:r>
    </w:p>
  </w:footnote>
  <w:footnote w:id="17">
    <w:p w14:paraId="7F0F42E4" w14:textId="77777777" w:rsidR="00120943" w:rsidRPr="006268D0" w:rsidRDefault="00120943" w:rsidP="0012094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 xml:space="preserve">UNHCR. </w:t>
      </w:r>
      <w:r w:rsidRPr="006268D0">
        <w:rPr>
          <w:i/>
          <w:color w:val="000000" w:themeColor="text1"/>
          <w:sz w:val="18"/>
          <w:szCs w:val="18"/>
        </w:rPr>
        <w:t xml:space="preserve">Human Rights and Refugee Protection. </w:t>
      </w:r>
      <w:r>
        <w:rPr>
          <w:iCs/>
          <w:color w:val="000000" w:themeColor="text1"/>
          <w:sz w:val="18"/>
          <w:szCs w:val="18"/>
        </w:rPr>
        <w:t>(</w:t>
      </w:r>
      <w:r w:rsidRPr="006268D0">
        <w:rPr>
          <w:color w:val="000000" w:themeColor="text1"/>
          <w:sz w:val="18"/>
          <w:szCs w:val="18"/>
        </w:rPr>
        <w:t>Jakarta: Regional Office of UNHCR. UNHCR: 1998</w:t>
      </w:r>
      <w:r>
        <w:rPr>
          <w:color w:val="000000" w:themeColor="text1"/>
          <w:sz w:val="18"/>
          <w:szCs w:val="18"/>
        </w:rPr>
        <w:t xml:space="preserve">) </w:t>
      </w:r>
      <w:r w:rsidRPr="006268D0">
        <w:rPr>
          <w:color w:val="000000" w:themeColor="text1"/>
          <w:sz w:val="18"/>
          <w:szCs w:val="18"/>
        </w:rPr>
        <w:t>3.</w:t>
      </w:r>
    </w:p>
  </w:footnote>
  <w:footnote w:id="18">
    <w:p w14:paraId="0786208A" w14:textId="77777777" w:rsidR="00120943" w:rsidRPr="006268D0" w:rsidRDefault="00120943" w:rsidP="0012094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UDHR</w:t>
      </w:r>
      <w:r w:rsidRPr="006268D0">
        <w:rPr>
          <w:i/>
          <w:color w:val="000000" w:themeColor="text1"/>
          <w:sz w:val="18"/>
          <w:szCs w:val="18"/>
        </w:rPr>
        <w:t xml:space="preserve">. Op. Cit. </w:t>
      </w:r>
      <w:r w:rsidRPr="006268D0">
        <w:rPr>
          <w:color w:val="000000" w:themeColor="text1"/>
          <w:sz w:val="18"/>
          <w:szCs w:val="18"/>
        </w:rPr>
        <w:t>a. 14.</w:t>
      </w:r>
    </w:p>
  </w:footnote>
  <w:footnote w:id="19">
    <w:p w14:paraId="3F9AFD6A" w14:textId="77777777" w:rsidR="00120943" w:rsidRPr="006268D0" w:rsidRDefault="00120943" w:rsidP="00120943">
      <w:pPr>
        <w:pStyle w:val="ListParagraph"/>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 xml:space="preserve">Convention 1951. </w:t>
      </w:r>
      <w:r w:rsidRPr="006268D0">
        <w:rPr>
          <w:i/>
          <w:color w:val="000000" w:themeColor="text1"/>
          <w:sz w:val="18"/>
          <w:szCs w:val="18"/>
        </w:rPr>
        <w:t>Op. Cit.</w:t>
      </w:r>
    </w:p>
  </w:footnote>
  <w:footnote w:id="20">
    <w:p w14:paraId="2214184D" w14:textId="77777777" w:rsidR="004557F3" w:rsidRPr="006268D0" w:rsidRDefault="004557F3" w:rsidP="004557F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 xml:space="preserve">Starke, J.G.  </w:t>
      </w:r>
      <w:proofErr w:type="spellStart"/>
      <w:r w:rsidRPr="00444D45">
        <w:rPr>
          <w:i/>
          <w:color w:val="000000" w:themeColor="text1"/>
          <w:sz w:val="18"/>
          <w:szCs w:val="18"/>
        </w:rPr>
        <w:t>Pengantar</w:t>
      </w:r>
      <w:proofErr w:type="spellEnd"/>
      <w:r w:rsidRPr="00444D45">
        <w:rPr>
          <w:i/>
          <w:color w:val="000000" w:themeColor="text1"/>
          <w:sz w:val="18"/>
          <w:szCs w:val="18"/>
        </w:rPr>
        <w:t xml:space="preserve"> Hukum </w:t>
      </w:r>
      <w:proofErr w:type="spellStart"/>
      <w:r w:rsidRPr="00444D45">
        <w:rPr>
          <w:i/>
          <w:color w:val="000000" w:themeColor="text1"/>
          <w:sz w:val="18"/>
          <w:szCs w:val="18"/>
        </w:rPr>
        <w:t>Internasional</w:t>
      </w:r>
      <w:proofErr w:type="spellEnd"/>
      <w:r w:rsidRPr="00444D45">
        <w:rPr>
          <w:i/>
          <w:color w:val="000000" w:themeColor="text1"/>
          <w:sz w:val="18"/>
          <w:szCs w:val="18"/>
        </w:rPr>
        <w:t xml:space="preserve"> 2. </w:t>
      </w:r>
      <w:proofErr w:type="spellStart"/>
      <w:r w:rsidRPr="00444D45">
        <w:rPr>
          <w:i/>
          <w:color w:val="000000" w:themeColor="text1"/>
          <w:sz w:val="18"/>
          <w:szCs w:val="18"/>
        </w:rPr>
        <w:t>Terjemahan</w:t>
      </w:r>
      <w:proofErr w:type="spellEnd"/>
      <w:r w:rsidRPr="00444D45">
        <w:rPr>
          <w:i/>
          <w:color w:val="000000" w:themeColor="text1"/>
          <w:sz w:val="18"/>
          <w:szCs w:val="18"/>
        </w:rPr>
        <w:t xml:space="preserve"> oleh Bambang </w:t>
      </w:r>
      <w:proofErr w:type="spellStart"/>
      <w:r w:rsidRPr="00444D45">
        <w:rPr>
          <w:i/>
          <w:color w:val="000000" w:themeColor="text1"/>
          <w:sz w:val="18"/>
          <w:szCs w:val="18"/>
        </w:rPr>
        <w:t>Iriana</w:t>
      </w:r>
      <w:proofErr w:type="spellEnd"/>
      <w:r w:rsidRPr="00444D45">
        <w:rPr>
          <w:i/>
          <w:color w:val="000000" w:themeColor="text1"/>
          <w:sz w:val="18"/>
          <w:szCs w:val="18"/>
        </w:rPr>
        <w:t xml:space="preserve"> </w:t>
      </w:r>
      <w:proofErr w:type="spellStart"/>
      <w:r w:rsidRPr="00444D45">
        <w:rPr>
          <w:i/>
          <w:color w:val="000000" w:themeColor="text1"/>
          <w:sz w:val="18"/>
          <w:szCs w:val="18"/>
        </w:rPr>
        <w:t>Djajaatmadja</w:t>
      </w:r>
      <w:proofErr w:type="spellEnd"/>
      <w:r>
        <w:rPr>
          <w:color w:val="000000" w:themeColor="text1"/>
          <w:sz w:val="18"/>
          <w:szCs w:val="18"/>
        </w:rPr>
        <w:t>, (</w:t>
      </w:r>
      <w:r w:rsidRPr="006268D0">
        <w:rPr>
          <w:color w:val="000000" w:themeColor="text1"/>
          <w:sz w:val="18"/>
          <w:szCs w:val="18"/>
        </w:rPr>
        <w:t xml:space="preserve">Jakarta: </w:t>
      </w:r>
      <w:proofErr w:type="spellStart"/>
      <w:r w:rsidRPr="006268D0">
        <w:rPr>
          <w:color w:val="000000" w:themeColor="text1"/>
          <w:sz w:val="18"/>
          <w:szCs w:val="18"/>
        </w:rPr>
        <w:t>Sinar</w:t>
      </w:r>
      <w:proofErr w:type="spellEnd"/>
      <w:r w:rsidRPr="006268D0">
        <w:rPr>
          <w:color w:val="000000" w:themeColor="text1"/>
          <w:sz w:val="18"/>
          <w:szCs w:val="18"/>
        </w:rPr>
        <w:t xml:space="preserve"> </w:t>
      </w:r>
      <w:proofErr w:type="spellStart"/>
      <w:r w:rsidRPr="006268D0">
        <w:rPr>
          <w:color w:val="000000" w:themeColor="text1"/>
          <w:sz w:val="18"/>
          <w:szCs w:val="18"/>
        </w:rPr>
        <w:t>Grafika</w:t>
      </w:r>
      <w:proofErr w:type="spellEnd"/>
      <w:r w:rsidRPr="006268D0">
        <w:rPr>
          <w:color w:val="000000" w:themeColor="text1"/>
          <w:sz w:val="18"/>
          <w:szCs w:val="18"/>
        </w:rPr>
        <w:t>. Starke: 2008</w:t>
      </w:r>
      <w:r>
        <w:rPr>
          <w:color w:val="000000" w:themeColor="text1"/>
          <w:sz w:val="18"/>
          <w:szCs w:val="18"/>
        </w:rPr>
        <w:t xml:space="preserve">) </w:t>
      </w:r>
      <w:r w:rsidRPr="006268D0">
        <w:rPr>
          <w:color w:val="000000" w:themeColor="text1"/>
          <w:sz w:val="18"/>
          <w:szCs w:val="18"/>
        </w:rPr>
        <w:t>479.</w:t>
      </w:r>
    </w:p>
  </w:footnote>
  <w:footnote w:id="21">
    <w:p w14:paraId="77F4F37F" w14:textId="77777777" w:rsidR="004557F3" w:rsidRPr="006268D0" w:rsidRDefault="004557F3" w:rsidP="004557F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i/>
          <w:sz w:val="18"/>
          <w:szCs w:val="18"/>
        </w:rPr>
        <w:t>Ibid</w:t>
      </w:r>
      <w:r w:rsidRPr="006268D0">
        <w:rPr>
          <w:sz w:val="18"/>
          <w:szCs w:val="18"/>
        </w:rPr>
        <w:t>. p. 475</w:t>
      </w:r>
    </w:p>
  </w:footnote>
  <w:footnote w:id="22">
    <w:p w14:paraId="0B2E51D1" w14:textId="77777777" w:rsidR="004557F3" w:rsidRPr="006268D0" w:rsidRDefault="004557F3" w:rsidP="004557F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 xml:space="preserve">Hamid, </w:t>
      </w:r>
      <w:proofErr w:type="spellStart"/>
      <w:r w:rsidRPr="006268D0">
        <w:rPr>
          <w:color w:val="000000" w:themeColor="text1"/>
          <w:sz w:val="18"/>
          <w:szCs w:val="18"/>
        </w:rPr>
        <w:t>Sulaiman</w:t>
      </w:r>
      <w:proofErr w:type="spellEnd"/>
      <w:r w:rsidRPr="006268D0">
        <w:rPr>
          <w:color w:val="000000" w:themeColor="text1"/>
          <w:sz w:val="18"/>
          <w:szCs w:val="18"/>
        </w:rPr>
        <w:t>.</w:t>
      </w:r>
      <w:r>
        <w:rPr>
          <w:color w:val="000000" w:themeColor="text1"/>
          <w:sz w:val="18"/>
          <w:szCs w:val="18"/>
        </w:rPr>
        <w:t xml:space="preserve"> </w:t>
      </w:r>
      <w:r w:rsidRPr="006268D0">
        <w:rPr>
          <w:i/>
          <w:color w:val="000000" w:themeColor="text1"/>
          <w:sz w:val="18"/>
          <w:szCs w:val="18"/>
        </w:rPr>
        <w:t xml:space="preserve">Lembaga </w:t>
      </w:r>
      <w:proofErr w:type="spellStart"/>
      <w:r w:rsidRPr="006268D0">
        <w:rPr>
          <w:i/>
          <w:color w:val="000000" w:themeColor="text1"/>
          <w:sz w:val="18"/>
          <w:szCs w:val="18"/>
        </w:rPr>
        <w:t>Suaka</w:t>
      </w:r>
      <w:proofErr w:type="spellEnd"/>
      <w:r w:rsidRPr="006268D0">
        <w:rPr>
          <w:i/>
          <w:color w:val="000000" w:themeColor="text1"/>
          <w:sz w:val="18"/>
          <w:szCs w:val="18"/>
        </w:rPr>
        <w:t xml:space="preserve"> </w:t>
      </w:r>
      <w:proofErr w:type="spellStart"/>
      <w:r w:rsidRPr="006268D0">
        <w:rPr>
          <w:i/>
          <w:color w:val="000000" w:themeColor="text1"/>
          <w:sz w:val="18"/>
          <w:szCs w:val="18"/>
        </w:rPr>
        <w:t>dalam</w:t>
      </w:r>
      <w:proofErr w:type="spellEnd"/>
      <w:r w:rsidRPr="006268D0">
        <w:rPr>
          <w:i/>
          <w:color w:val="000000" w:themeColor="text1"/>
          <w:sz w:val="18"/>
          <w:szCs w:val="18"/>
        </w:rPr>
        <w:t xml:space="preserve"> Hukum </w:t>
      </w:r>
      <w:proofErr w:type="spellStart"/>
      <w:r w:rsidRPr="006268D0">
        <w:rPr>
          <w:i/>
          <w:color w:val="000000" w:themeColor="text1"/>
          <w:sz w:val="18"/>
          <w:szCs w:val="18"/>
        </w:rPr>
        <w:t>Internasional</w:t>
      </w:r>
      <w:proofErr w:type="spellEnd"/>
      <w:r w:rsidRPr="006268D0">
        <w:rPr>
          <w:i/>
          <w:color w:val="000000" w:themeColor="text1"/>
          <w:sz w:val="18"/>
          <w:szCs w:val="18"/>
        </w:rPr>
        <w:t xml:space="preserve">. </w:t>
      </w:r>
      <w:r>
        <w:rPr>
          <w:iCs/>
          <w:color w:val="000000" w:themeColor="text1"/>
          <w:sz w:val="18"/>
          <w:szCs w:val="18"/>
        </w:rPr>
        <w:t>(</w:t>
      </w:r>
      <w:r w:rsidRPr="006268D0">
        <w:rPr>
          <w:color w:val="000000" w:themeColor="text1"/>
          <w:sz w:val="18"/>
          <w:szCs w:val="18"/>
        </w:rPr>
        <w:t xml:space="preserve">Jakarta: </w:t>
      </w:r>
      <w:proofErr w:type="spellStart"/>
      <w:r w:rsidRPr="006268D0">
        <w:rPr>
          <w:color w:val="000000" w:themeColor="text1"/>
          <w:sz w:val="18"/>
          <w:szCs w:val="18"/>
        </w:rPr>
        <w:t>Rajagrafindo</w:t>
      </w:r>
      <w:proofErr w:type="spellEnd"/>
      <w:r w:rsidRPr="006268D0">
        <w:rPr>
          <w:color w:val="000000" w:themeColor="text1"/>
          <w:sz w:val="18"/>
          <w:szCs w:val="18"/>
        </w:rPr>
        <w:t xml:space="preserve"> </w:t>
      </w:r>
      <w:proofErr w:type="spellStart"/>
      <w:r w:rsidRPr="006268D0">
        <w:rPr>
          <w:color w:val="000000" w:themeColor="text1"/>
          <w:sz w:val="18"/>
          <w:szCs w:val="18"/>
        </w:rPr>
        <w:t>Persada</w:t>
      </w:r>
      <w:proofErr w:type="spellEnd"/>
      <w:r w:rsidRPr="006268D0">
        <w:rPr>
          <w:color w:val="000000" w:themeColor="text1"/>
          <w:sz w:val="18"/>
          <w:szCs w:val="18"/>
        </w:rPr>
        <w:t>. Hamid 2002</w:t>
      </w:r>
      <w:r>
        <w:rPr>
          <w:color w:val="000000" w:themeColor="text1"/>
          <w:sz w:val="18"/>
          <w:szCs w:val="18"/>
        </w:rPr>
        <w:t xml:space="preserve">) </w:t>
      </w:r>
      <w:r w:rsidRPr="006268D0">
        <w:rPr>
          <w:color w:val="000000" w:themeColor="text1"/>
          <w:sz w:val="18"/>
          <w:szCs w:val="18"/>
        </w:rPr>
        <w:t>46.</w:t>
      </w:r>
    </w:p>
  </w:footnote>
  <w:footnote w:id="23">
    <w:p w14:paraId="0B056A03" w14:textId="77777777" w:rsidR="004557F3" w:rsidRPr="006268D0" w:rsidRDefault="004557F3" w:rsidP="004557F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proofErr w:type="spellStart"/>
      <w:r w:rsidRPr="006268D0">
        <w:rPr>
          <w:color w:val="000000" w:themeColor="text1"/>
          <w:sz w:val="18"/>
          <w:szCs w:val="18"/>
        </w:rPr>
        <w:t>Prihandono</w:t>
      </w:r>
      <w:proofErr w:type="spellEnd"/>
      <w:r w:rsidRPr="006268D0">
        <w:rPr>
          <w:color w:val="000000" w:themeColor="text1"/>
          <w:sz w:val="18"/>
          <w:szCs w:val="18"/>
        </w:rPr>
        <w:t xml:space="preserve">. </w:t>
      </w:r>
      <w:r w:rsidRPr="006268D0">
        <w:rPr>
          <w:i/>
          <w:sz w:val="18"/>
          <w:szCs w:val="18"/>
        </w:rPr>
        <w:t>Op. Cit.</w:t>
      </w:r>
    </w:p>
  </w:footnote>
  <w:footnote w:id="24">
    <w:p w14:paraId="69C0B992" w14:textId="77777777" w:rsidR="004557F3" w:rsidRPr="006268D0" w:rsidRDefault="004557F3" w:rsidP="004557F3">
      <w:pPr>
        <w:pStyle w:val="ListParagraph"/>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Mary </w:t>
      </w:r>
      <w:r w:rsidRPr="006268D0">
        <w:rPr>
          <w:color w:val="000000" w:themeColor="text1"/>
          <w:sz w:val="18"/>
          <w:szCs w:val="18"/>
        </w:rPr>
        <w:t xml:space="preserve">Crock. In the Wake of the Tampa: Conflicting Visions of International Refugee Law in the Management of Refugee Flows. 12 </w:t>
      </w:r>
      <w:r w:rsidRPr="006268D0">
        <w:rPr>
          <w:i/>
          <w:color w:val="000000" w:themeColor="text1"/>
          <w:sz w:val="18"/>
          <w:szCs w:val="18"/>
        </w:rPr>
        <w:t xml:space="preserve">Pacific Rim Journal of Law and Policy </w:t>
      </w:r>
      <w:r w:rsidRPr="006268D0">
        <w:rPr>
          <w:color w:val="000000" w:themeColor="text1"/>
          <w:sz w:val="18"/>
          <w:szCs w:val="18"/>
        </w:rPr>
        <w:t>49. Crock 2003.p. 49.</w:t>
      </w:r>
    </w:p>
  </w:footnote>
  <w:footnote w:id="25">
    <w:p w14:paraId="219C16FE" w14:textId="77777777" w:rsidR="004557F3" w:rsidRPr="006268D0" w:rsidRDefault="004557F3" w:rsidP="004557F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proofErr w:type="spellStart"/>
      <w:r w:rsidRPr="006268D0">
        <w:rPr>
          <w:color w:val="000000" w:themeColor="text1"/>
          <w:sz w:val="18"/>
          <w:szCs w:val="18"/>
        </w:rPr>
        <w:t>Moussalli</w:t>
      </w:r>
      <w:proofErr w:type="spellEnd"/>
      <w:r w:rsidRPr="006268D0">
        <w:rPr>
          <w:color w:val="000000" w:themeColor="text1"/>
          <w:sz w:val="18"/>
          <w:szCs w:val="18"/>
        </w:rPr>
        <w:t>, Michell</w:t>
      </w:r>
      <w:r>
        <w:rPr>
          <w:color w:val="000000" w:themeColor="text1"/>
          <w:sz w:val="18"/>
          <w:szCs w:val="18"/>
        </w:rPr>
        <w:t xml:space="preserve">, </w:t>
      </w:r>
      <w:proofErr w:type="gramStart"/>
      <w:r w:rsidRPr="006268D0">
        <w:rPr>
          <w:i/>
          <w:color w:val="000000" w:themeColor="text1"/>
          <w:sz w:val="18"/>
          <w:szCs w:val="18"/>
        </w:rPr>
        <w:t>Who</w:t>
      </w:r>
      <w:proofErr w:type="gramEnd"/>
      <w:r w:rsidRPr="006268D0">
        <w:rPr>
          <w:i/>
          <w:color w:val="000000" w:themeColor="text1"/>
          <w:sz w:val="18"/>
          <w:szCs w:val="18"/>
        </w:rPr>
        <w:t xml:space="preserve"> is a Refugee. </w:t>
      </w:r>
      <w:r>
        <w:rPr>
          <w:iCs/>
          <w:color w:val="000000" w:themeColor="text1"/>
          <w:sz w:val="18"/>
          <w:szCs w:val="18"/>
        </w:rPr>
        <w:t>(</w:t>
      </w:r>
      <w:proofErr w:type="spellStart"/>
      <w:r w:rsidRPr="006268D0">
        <w:rPr>
          <w:color w:val="000000" w:themeColor="text1"/>
          <w:sz w:val="18"/>
          <w:szCs w:val="18"/>
        </w:rPr>
        <w:t>Jenewa</w:t>
      </w:r>
      <w:proofErr w:type="spellEnd"/>
      <w:r w:rsidRPr="006268D0">
        <w:rPr>
          <w:color w:val="000000" w:themeColor="text1"/>
          <w:sz w:val="18"/>
          <w:szCs w:val="18"/>
        </w:rPr>
        <w:t xml:space="preserve">: UNHCR. </w:t>
      </w:r>
      <w:proofErr w:type="spellStart"/>
      <w:r w:rsidRPr="006268D0">
        <w:rPr>
          <w:color w:val="000000" w:themeColor="text1"/>
          <w:sz w:val="18"/>
          <w:szCs w:val="18"/>
        </w:rPr>
        <w:t>Moussalli</w:t>
      </w:r>
      <w:proofErr w:type="spellEnd"/>
      <w:r w:rsidRPr="006268D0">
        <w:rPr>
          <w:color w:val="000000" w:themeColor="text1"/>
          <w:sz w:val="18"/>
          <w:szCs w:val="18"/>
        </w:rPr>
        <w:t xml:space="preserve"> 1982</w:t>
      </w:r>
      <w:r>
        <w:rPr>
          <w:color w:val="000000" w:themeColor="text1"/>
          <w:sz w:val="18"/>
          <w:szCs w:val="18"/>
        </w:rPr>
        <w:t xml:space="preserve">) </w:t>
      </w:r>
      <w:r w:rsidRPr="006268D0">
        <w:rPr>
          <w:color w:val="000000" w:themeColor="text1"/>
          <w:sz w:val="18"/>
          <w:szCs w:val="18"/>
        </w:rPr>
        <w:t>42.</w:t>
      </w:r>
    </w:p>
  </w:footnote>
  <w:footnote w:id="26">
    <w:p w14:paraId="7C2AD8E6" w14:textId="77777777" w:rsidR="004557F3" w:rsidRPr="006268D0" w:rsidRDefault="004557F3" w:rsidP="004557F3">
      <w:pPr>
        <w:pStyle w:val="FootnoteText"/>
        <w:tabs>
          <w:tab w:val="left" w:pos="426"/>
        </w:tabs>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Declaration on Territorial Asylum, 1967</w:t>
      </w:r>
      <w:r>
        <w:rPr>
          <w:color w:val="000000" w:themeColor="text1"/>
          <w:sz w:val="18"/>
          <w:szCs w:val="18"/>
        </w:rPr>
        <w:t>.</w:t>
      </w:r>
    </w:p>
  </w:footnote>
  <w:footnote w:id="27">
    <w:p w14:paraId="3EB204C2" w14:textId="77777777" w:rsidR="004557F3" w:rsidRPr="006268D0" w:rsidRDefault="004557F3" w:rsidP="004557F3">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r w:rsidRPr="006268D0">
        <w:rPr>
          <w:color w:val="000000" w:themeColor="text1"/>
          <w:sz w:val="18"/>
          <w:szCs w:val="18"/>
        </w:rPr>
        <w:t>De Rover, C.</w:t>
      </w:r>
      <w:r>
        <w:rPr>
          <w:color w:val="000000" w:themeColor="text1"/>
          <w:sz w:val="18"/>
          <w:szCs w:val="18"/>
        </w:rPr>
        <w:t xml:space="preserve">, </w:t>
      </w:r>
      <w:r w:rsidRPr="006268D0">
        <w:rPr>
          <w:i/>
          <w:color w:val="000000" w:themeColor="text1"/>
          <w:sz w:val="18"/>
          <w:szCs w:val="18"/>
        </w:rPr>
        <w:t xml:space="preserve">To Serve and To Protect. </w:t>
      </w:r>
      <w:r>
        <w:rPr>
          <w:iCs/>
          <w:color w:val="000000" w:themeColor="text1"/>
          <w:sz w:val="18"/>
          <w:szCs w:val="18"/>
        </w:rPr>
        <w:t>(</w:t>
      </w:r>
      <w:r w:rsidRPr="006268D0">
        <w:rPr>
          <w:color w:val="000000" w:themeColor="text1"/>
          <w:sz w:val="18"/>
          <w:szCs w:val="18"/>
        </w:rPr>
        <w:t xml:space="preserve">Jakarta: Raja </w:t>
      </w:r>
      <w:proofErr w:type="spellStart"/>
      <w:r w:rsidRPr="006268D0">
        <w:rPr>
          <w:color w:val="000000" w:themeColor="text1"/>
          <w:sz w:val="18"/>
          <w:szCs w:val="18"/>
        </w:rPr>
        <w:t>Grafindo</w:t>
      </w:r>
      <w:proofErr w:type="spellEnd"/>
      <w:r w:rsidRPr="006268D0">
        <w:rPr>
          <w:color w:val="000000" w:themeColor="text1"/>
          <w:sz w:val="18"/>
          <w:szCs w:val="18"/>
        </w:rPr>
        <w:t xml:space="preserve"> </w:t>
      </w:r>
      <w:proofErr w:type="spellStart"/>
      <w:r w:rsidRPr="006268D0">
        <w:rPr>
          <w:color w:val="000000" w:themeColor="text1"/>
          <w:sz w:val="18"/>
          <w:szCs w:val="18"/>
        </w:rPr>
        <w:t>Persada</w:t>
      </w:r>
      <w:proofErr w:type="spellEnd"/>
      <w:r w:rsidRPr="006268D0">
        <w:rPr>
          <w:color w:val="000000" w:themeColor="text1"/>
          <w:sz w:val="18"/>
          <w:szCs w:val="18"/>
        </w:rPr>
        <w:t>. de Rover: 2000</w:t>
      </w:r>
      <w:r>
        <w:rPr>
          <w:color w:val="000000" w:themeColor="text1"/>
          <w:sz w:val="18"/>
          <w:szCs w:val="18"/>
        </w:rPr>
        <w:t xml:space="preserve">) </w:t>
      </w:r>
      <w:r w:rsidRPr="006268D0">
        <w:rPr>
          <w:color w:val="000000" w:themeColor="text1"/>
          <w:sz w:val="18"/>
          <w:szCs w:val="18"/>
        </w:rPr>
        <w:t>340.</w:t>
      </w:r>
    </w:p>
    <w:p w14:paraId="4E6D65A3" w14:textId="77777777" w:rsidR="004557F3" w:rsidRPr="006268D0" w:rsidRDefault="004557F3" w:rsidP="004557F3">
      <w:pPr>
        <w:pStyle w:val="FootnoteText"/>
        <w:tabs>
          <w:tab w:val="left" w:pos="426"/>
        </w:tabs>
        <w:ind w:left="0" w:hanging="2"/>
        <w:jc w:val="both"/>
        <w:rPr>
          <w:sz w:val="18"/>
          <w:szCs w:val="18"/>
        </w:rPr>
      </w:pPr>
    </w:p>
  </w:footnote>
  <w:footnote w:id="28">
    <w:p w14:paraId="187BE237" w14:textId="77777777" w:rsidR="00707495" w:rsidRPr="006268D0" w:rsidRDefault="00707495" w:rsidP="00707495">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Gil </w:t>
      </w:r>
      <w:proofErr w:type="spellStart"/>
      <w:r w:rsidRPr="006268D0">
        <w:rPr>
          <w:color w:val="000000" w:themeColor="text1"/>
          <w:sz w:val="18"/>
          <w:szCs w:val="18"/>
        </w:rPr>
        <w:t>Loescher</w:t>
      </w:r>
      <w:proofErr w:type="spellEnd"/>
      <w:r w:rsidRPr="006268D0">
        <w:rPr>
          <w:color w:val="000000" w:themeColor="text1"/>
          <w:sz w:val="18"/>
          <w:szCs w:val="18"/>
        </w:rPr>
        <w:t xml:space="preserve">. </w:t>
      </w:r>
      <w:r w:rsidRPr="00444D45">
        <w:rPr>
          <w:i/>
          <w:iCs/>
          <w:color w:val="000000" w:themeColor="text1"/>
          <w:sz w:val="18"/>
          <w:szCs w:val="18"/>
        </w:rPr>
        <w:t>Refugee Issues in International La</w:t>
      </w:r>
      <w:r>
        <w:rPr>
          <w:i/>
          <w:iCs/>
          <w:color w:val="000000" w:themeColor="text1"/>
          <w:sz w:val="18"/>
          <w:szCs w:val="18"/>
        </w:rPr>
        <w:t>w</w:t>
      </w:r>
      <w:r w:rsidRPr="006268D0">
        <w:rPr>
          <w:color w:val="000000" w:themeColor="text1"/>
          <w:sz w:val="18"/>
          <w:szCs w:val="18"/>
        </w:rPr>
        <w:t xml:space="preserve">, </w:t>
      </w:r>
      <w:proofErr w:type="spellStart"/>
      <w:r w:rsidRPr="006268D0">
        <w:rPr>
          <w:color w:val="000000" w:themeColor="text1"/>
          <w:sz w:val="18"/>
          <w:szCs w:val="18"/>
        </w:rPr>
        <w:t>dalam</w:t>
      </w:r>
      <w:proofErr w:type="spellEnd"/>
      <w:r w:rsidRPr="006268D0">
        <w:rPr>
          <w:color w:val="000000" w:themeColor="text1"/>
          <w:sz w:val="18"/>
          <w:szCs w:val="18"/>
        </w:rPr>
        <w:t xml:space="preserve"> Gil </w:t>
      </w:r>
      <w:proofErr w:type="spellStart"/>
      <w:r w:rsidRPr="006268D0">
        <w:rPr>
          <w:color w:val="000000" w:themeColor="text1"/>
          <w:sz w:val="18"/>
          <w:szCs w:val="18"/>
        </w:rPr>
        <w:t>Loescher</w:t>
      </w:r>
      <w:proofErr w:type="spellEnd"/>
      <w:r w:rsidRPr="006268D0">
        <w:rPr>
          <w:color w:val="000000" w:themeColor="text1"/>
          <w:sz w:val="18"/>
          <w:szCs w:val="18"/>
        </w:rPr>
        <w:t xml:space="preserve"> dan Laila Monahan (eds.). </w:t>
      </w:r>
      <w:r w:rsidRPr="006268D0">
        <w:rPr>
          <w:i/>
          <w:color w:val="000000" w:themeColor="text1"/>
          <w:sz w:val="18"/>
          <w:szCs w:val="18"/>
        </w:rPr>
        <w:t xml:space="preserve">Refugees and International Relations. </w:t>
      </w:r>
      <w:r>
        <w:rPr>
          <w:iCs/>
          <w:color w:val="000000" w:themeColor="text1"/>
          <w:sz w:val="18"/>
          <w:szCs w:val="18"/>
        </w:rPr>
        <w:t>(</w:t>
      </w:r>
      <w:r w:rsidRPr="006268D0">
        <w:rPr>
          <w:color w:val="000000" w:themeColor="text1"/>
          <w:sz w:val="18"/>
          <w:szCs w:val="18"/>
        </w:rPr>
        <w:t xml:space="preserve">Oxford: Oxford University Press. 1989. </w:t>
      </w:r>
      <w:proofErr w:type="spellStart"/>
      <w:r w:rsidRPr="006268D0">
        <w:rPr>
          <w:color w:val="000000" w:themeColor="text1"/>
          <w:sz w:val="18"/>
          <w:szCs w:val="18"/>
        </w:rPr>
        <w:t>Loescher</w:t>
      </w:r>
      <w:proofErr w:type="spellEnd"/>
      <w:r w:rsidRPr="006268D0">
        <w:rPr>
          <w:color w:val="000000" w:themeColor="text1"/>
          <w:sz w:val="18"/>
          <w:szCs w:val="18"/>
        </w:rPr>
        <w:t xml:space="preserve"> 1989</w:t>
      </w:r>
      <w:r>
        <w:rPr>
          <w:color w:val="000000" w:themeColor="text1"/>
          <w:sz w:val="18"/>
          <w:szCs w:val="18"/>
        </w:rPr>
        <w:t xml:space="preserve">) </w:t>
      </w:r>
      <w:r w:rsidRPr="006268D0">
        <w:rPr>
          <w:color w:val="000000" w:themeColor="text1"/>
          <w:sz w:val="18"/>
          <w:szCs w:val="18"/>
        </w:rPr>
        <w:t>2.</w:t>
      </w:r>
    </w:p>
    <w:p w14:paraId="63A21FE9" w14:textId="77777777" w:rsidR="00707495" w:rsidRPr="006268D0" w:rsidRDefault="00707495" w:rsidP="00707495">
      <w:pPr>
        <w:pStyle w:val="FootnoteText"/>
        <w:tabs>
          <w:tab w:val="left" w:pos="426"/>
        </w:tabs>
        <w:ind w:left="0" w:hanging="2"/>
        <w:jc w:val="both"/>
        <w:rPr>
          <w:sz w:val="18"/>
          <w:szCs w:val="18"/>
        </w:rPr>
      </w:pPr>
    </w:p>
  </w:footnote>
  <w:footnote w:id="29">
    <w:p w14:paraId="78A7FE77" w14:textId="77777777" w:rsidR="00707495" w:rsidRPr="006268D0" w:rsidRDefault="00707495" w:rsidP="00707495">
      <w:pPr>
        <w:tabs>
          <w:tab w:val="left" w:pos="426"/>
        </w:tabs>
        <w:spacing w:line="240" w:lineRule="auto"/>
        <w:ind w:left="0" w:hanging="2"/>
        <w:jc w:val="both"/>
        <w:rPr>
          <w:color w:val="000000" w:themeColor="text1"/>
          <w:sz w:val="18"/>
          <w:szCs w:val="18"/>
        </w:rPr>
      </w:pPr>
      <w:r w:rsidRPr="006268D0">
        <w:rPr>
          <w:rStyle w:val="FootnoteReference"/>
          <w:sz w:val="18"/>
          <w:szCs w:val="18"/>
        </w:rPr>
        <w:footnoteRef/>
      </w:r>
      <w:r w:rsidRPr="006268D0">
        <w:rPr>
          <w:sz w:val="18"/>
          <w:szCs w:val="18"/>
        </w:rPr>
        <w:t xml:space="preserve"> </w:t>
      </w:r>
      <w:proofErr w:type="spellStart"/>
      <w:r w:rsidRPr="006268D0">
        <w:rPr>
          <w:color w:val="000000" w:themeColor="text1"/>
          <w:sz w:val="18"/>
          <w:szCs w:val="18"/>
        </w:rPr>
        <w:t>Komisi</w:t>
      </w:r>
      <w:proofErr w:type="spellEnd"/>
      <w:r w:rsidRPr="006268D0">
        <w:rPr>
          <w:color w:val="000000" w:themeColor="text1"/>
          <w:sz w:val="18"/>
          <w:szCs w:val="18"/>
        </w:rPr>
        <w:t xml:space="preserve"> HAM PBB</w:t>
      </w:r>
      <w:r>
        <w:rPr>
          <w:color w:val="000000" w:themeColor="text1"/>
          <w:sz w:val="18"/>
          <w:szCs w:val="18"/>
        </w:rPr>
        <w:t xml:space="preserve">, </w:t>
      </w:r>
      <w:r w:rsidRPr="00444D45">
        <w:rPr>
          <w:color w:val="000000" w:themeColor="text1"/>
          <w:sz w:val="18"/>
          <w:szCs w:val="18"/>
        </w:rPr>
        <w:t>“Report of the Working Group on a Draft Convention on the Rights of Child, 42</w:t>
      </w:r>
      <w:r w:rsidRPr="00444D45">
        <w:rPr>
          <w:color w:val="000000" w:themeColor="text1"/>
          <w:sz w:val="18"/>
          <w:szCs w:val="18"/>
          <w:vertAlign w:val="superscript"/>
        </w:rPr>
        <w:t>nd</w:t>
      </w:r>
      <w:r w:rsidRPr="00444D45">
        <w:rPr>
          <w:color w:val="000000" w:themeColor="text1"/>
          <w:sz w:val="18"/>
          <w:szCs w:val="18"/>
        </w:rPr>
        <w:t xml:space="preserve"> Session, Agenda Item 13.</w:t>
      </w:r>
      <w:r w:rsidRPr="006268D0">
        <w:rPr>
          <w:i/>
          <w:color w:val="000000" w:themeColor="text1"/>
          <w:sz w:val="18"/>
          <w:szCs w:val="18"/>
        </w:rPr>
        <w:t xml:space="preserve"> </w:t>
      </w:r>
      <w:r w:rsidRPr="006268D0">
        <w:rPr>
          <w:color w:val="000000" w:themeColor="text1"/>
          <w:sz w:val="18"/>
          <w:szCs w:val="18"/>
        </w:rPr>
        <w:t>UN Doc. E/CN.4/1986/39</w:t>
      </w:r>
      <w:r>
        <w:rPr>
          <w:color w:val="000000" w:themeColor="text1"/>
          <w:sz w:val="18"/>
          <w:szCs w:val="18"/>
        </w:rPr>
        <w:t>”</w:t>
      </w:r>
      <w:r w:rsidRPr="006268D0">
        <w:rPr>
          <w:color w:val="000000" w:themeColor="text1"/>
          <w:sz w:val="18"/>
          <w:szCs w:val="18"/>
        </w:rPr>
        <w:t xml:space="preserve">. </w:t>
      </w:r>
      <w:r w:rsidRPr="00444D45">
        <w:rPr>
          <w:i/>
          <w:iCs/>
          <w:color w:val="000000" w:themeColor="text1"/>
          <w:sz w:val="18"/>
          <w:szCs w:val="18"/>
        </w:rPr>
        <w:t>UN Human Rights Commission</w:t>
      </w:r>
      <w:r w:rsidRPr="006268D0">
        <w:rPr>
          <w:color w:val="000000" w:themeColor="text1"/>
          <w:sz w:val="18"/>
          <w:szCs w:val="18"/>
        </w:rPr>
        <w:t xml:space="preserve">, </w:t>
      </w:r>
      <w:r>
        <w:rPr>
          <w:color w:val="000000" w:themeColor="text1"/>
          <w:sz w:val="18"/>
          <w:szCs w:val="18"/>
        </w:rPr>
        <w:t>(</w:t>
      </w:r>
      <w:r w:rsidRPr="006268D0">
        <w:rPr>
          <w:color w:val="000000" w:themeColor="text1"/>
          <w:sz w:val="18"/>
          <w:szCs w:val="18"/>
        </w:rPr>
        <w:t>1986</w:t>
      </w:r>
      <w:r>
        <w:rPr>
          <w:color w:val="000000" w:themeColor="text1"/>
          <w:sz w:val="18"/>
          <w:szCs w:val="18"/>
        </w:rPr>
        <w:t>)</w:t>
      </w:r>
      <w:r w:rsidRPr="006268D0">
        <w:rPr>
          <w:color w:val="000000" w:themeColor="text1"/>
          <w:sz w:val="18"/>
          <w:szCs w:val="18"/>
        </w:rPr>
        <w:t>. paragraphs 24 and 30.</w:t>
      </w:r>
    </w:p>
  </w:footnote>
  <w:footnote w:id="30">
    <w:p w14:paraId="266DCF9D" w14:textId="77777777" w:rsidR="00777DEF" w:rsidRPr="006268D0" w:rsidRDefault="00777DEF" w:rsidP="00777DEF">
      <w:pPr>
        <w:widowControl w:val="0"/>
        <w:autoSpaceDE w:val="0"/>
        <w:autoSpaceDN w:val="0"/>
        <w:adjustRightInd w:val="0"/>
        <w:spacing w:line="240" w:lineRule="auto"/>
        <w:ind w:left="0" w:hanging="2"/>
        <w:jc w:val="both"/>
        <w:rPr>
          <w:noProof/>
          <w:sz w:val="18"/>
          <w:szCs w:val="18"/>
        </w:rPr>
      </w:pPr>
      <w:r w:rsidRPr="006268D0">
        <w:rPr>
          <w:rStyle w:val="FootnoteReference"/>
          <w:sz w:val="18"/>
          <w:szCs w:val="18"/>
        </w:rPr>
        <w:footnoteRef/>
      </w:r>
      <w:r w:rsidRPr="006268D0">
        <w:rPr>
          <w:sz w:val="18"/>
          <w:szCs w:val="18"/>
        </w:rPr>
        <w:t xml:space="preserve"> </w:t>
      </w:r>
      <w:r w:rsidRPr="006268D0">
        <w:rPr>
          <w:noProof/>
          <w:sz w:val="18"/>
          <w:szCs w:val="18"/>
          <w:lang w:val="en-GB"/>
        </w:rPr>
        <w:t>Weissbrodt, D., &amp; Hortreiter, I.</w:t>
      </w:r>
      <w:r>
        <w:rPr>
          <w:noProof/>
          <w:sz w:val="18"/>
          <w:szCs w:val="18"/>
          <w:lang w:val="en-GB"/>
        </w:rPr>
        <w:t>, “</w:t>
      </w:r>
      <w:r w:rsidRPr="006268D0">
        <w:rPr>
          <w:noProof/>
          <w:sz w:val="18"/>
          <w:szCs w:val="18"/>
          <w:lang w:val="en-GB"/>
        </w:rPr>
        <w:t>The Principle of Non-Refoulement: Article 3 of the Convention Against Torture and Other Cruel, Inhuman or Degrading Treatment or Punishment in Comparison with the Non-Refoulement Provisions of Other International Human Rights Treaties.</w:t>
      </w:r>
      <w:r>
        <w:rPr>
          <w:noProof/>
          <w:sz w:val="18"/>
          <w:szCs w:val="18"/>
          <w:lang w:val="en-GB"/>
        </w:rPr>
        <w:t>”</w:t>
      </w:r>
      <w:r w:rsidRPr="006268D0">
        <w:rPr>
          <w:noProof/>
          <w:sz w:val="18"/>
          <w:szCs w:val="18"/>
          <w:lang w:val="en-GB"/>
        </w:rPr>
        <w:t xml:space="preserve"> </w:t>
      </w:r>
      <w:r w:rsidRPr="006268D0">
        <w:rPr>
          <w:i/>
          <w:iCs/>
          <w:noProof/>
          <w:sz w:val="18"/>
          <w:szCs w:val="18"/>
          <w:lang w:val="en-GB"/>
        </w:rPr>
        <w:t>Buffalo Human Rights Law Review</w:t>
      </w:r>
      <w:r w:rsidRPr="006268D0">
        <w:rPr>
          <w:noProof/>
          <w:sz w:val="18"/>
          <w:szCs w:val="18"/>
          <w:lang w:val="en-GB"/>
        </w:rPr>
        <w:t>.</w:t>
      </w:r>
      <w:r>
        <w:rPr>
          <w:noProof/>
          <w:sz w:val="18"/>
          <w:szCs w:val="18"/>
          <w:lang w:val="en-GB"/>
        </w:rPr>
        <w:t xml:space="preserve"> (1986)</w:t>
      </w:r>
    </w:p>
    <w:p w14:paraId="5DC28A5B" w14:textId="77777777" w:rsidR="00777DEF" w:rsidRPr="006268D0" w:rsidRDefault="00777DEF" w:rsidP="00777DEF">
      <w:pPr>
        <w:pStyle w:val="FootnoteText"/>
        <w:ind w:left="0" w:hanging="2"/>
        <w:jc w:val="both"/>
        <w:rPr>
          <w:sz w:val="18"/>
          <w:szCs w:val="18"/>
        </w:rPr>
      </w:pPr>
    </w:p>
  </w:footnote>
  <w:footnote w:id="31">
    <w:p w14:paraId="0B42BA7A" w14:textId="77777777" w:rsidR="00777DEF" w:rsidRPr="006268D0" w:rsidRDefault="00777DEF" w:rsidP="00777DEF">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J-F. </w:t>
      </w:r>
      <w:r w:rsidRPr="006268D0">
        <w:rPr>
          <w:noProof/>
          <w:sz w:val="18"/>
          <w:szCs w:val="18"/>
          <w:lang w:val="en-GB"/>
        </w:rPr>
        <w:t>Durieux., &amp; McAdam, J.</w:t>
      </w:r>
      <w:r>
        <w:rPr>
          <w:noProof/>
          <w:sz w:val="18"/>
          <w:szCs w:val="18"/>
          <w:lang w:val="en-GB"/>
        </w:rPr>
        <w:t>,</w:t>
      </w:r>
      <w:r w:rsidRPr="006268D0">
        <w:rPr>
          <w:noProof/>
          <w:sz w:val="18"/>
          <w:szCs w:val="18"/>
          <w:lang w:val="en-GB"/>
        </w:rPr>
        <w:t xml:space="preserve"> Non-Refoulement through Time: The Case for a Derogation Clause to the Refugee Convention in Mass Influx Emergencies | Kaldor Centre. </w:t>
      </w:r>
      <w:r w:rsidRPr="006268D0">
        <w:rPr>
          <w:i/>
          <w:iCs/>
          <w:noProof/>
          <w:sz w:val="18"/>
          <w:szCs w:val="18"/>
          <w:lang w:val="en-GB"/>
        </w:rPr>
        <w:t>International Journal of Refugee Law</w:t>
      </w:r>
      <w:r w:rsidRPr="006268D0">
        <w:rPr>
          <w:noProof/>
          <w:sz w:val="18"/>
          <w:szCs w:val="18"/>
          <w:lang w:val="en-GB"/>
        </w:rPr>
        <w:t xml:space="preserve">, </w:t>
      </w:r>
      <w:r w:rsidRPr="006268D0">
        <w:rPr>
          <w:i/>
          <w:iCs/>
          <w:noProof/>
          <w:sz w:val="18"/>
          <w:szCs w:val="18"/>
          <w:lang w:val="en-GB"/>
        </w:rPr>
        <w:t>16</w:t>
      </w:r>
      <w:r w:rsidRPr="006268D0">
        <w:rPr>
          <w:noProof/>
          <w:sz w:val="18"/>
          <w:szCs w:val="18"/>
          <w:lang w:val="en-GB"/>
        </w:rPr>
        <w:t xml:space="preserve">, </w:t>
      </w:r>
      <w:r>
        <w:rPr>
          <w:noProof/>
          <w:sz w:val="18"/>
          <w:szCs w:val="18"/>
          <w:lang w:val="en-GB"/>
        </w:rPr>
        <w:t xml:space="preserve">2004 </w:t>
      </w:r>
      <w:r w:rsidRPr="006268D0">
        <w:rPr>
          <w:noProof/>
          <w:sz w:val="18"/>
          <w:szCs w:val="18"/>
          <w:lang w:val="en-GB"/>
        </w:rPr>
        <w:t xml:space="preserve">24. </w:t>
      </w:r>
      <w:r w:rsidRPr="0099762E">
        <w:rPr>
          <w:noProof/>
          <w:color w:val="C00000"/>
          <w:sz w:val="18"/>
          <w:szCs w:val="18"/>
          <w:lang w:val="en-GB"/>
        </w:rPr>
        <w:t>https://www.kaldorcentre.unsw.edu.au/publication/non-refoulement-through-time-case-derogation-clause-refugee-convention-mass-influx</w:t>
      </w:r>
    </w:p>
  </w:footnote>
  <w:footnote w:id="32">
    <w:p w14:paraId="19F87FA3" w14:textId="77777777" w:rsidR="00777DEF" w:rsidRPr="006268D0" w:rsidRDefault="00777DEF" w:rsidP="00777DEF">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Weiner, M.</w:t>
      </w:r>
      <w:r>
        <w:rPr>
          <w:noProof/>
          <w:sz w:val="18"/>
          <w:szCs w:val="18"/>
          <w:lang w:val="en-GB"/>
        </w:rPr>
        <w:t>, “</w:t>
      </w:r>
      <w:r w:rsidRPr="006268D0">
        <w:rPr>
          <w:noProof/>
          <w:sz w:val="18"/>
          <w:szCs w:val="18"/>
          <w:lang w:val="en-GB"/>
        </w:rPr>
        <w:t>Global Movement, Global Walls: Responses to Migration 1885-1925. In G. Wu (Ed.),</w:t>
      </w:r>
      <w:r>
        <w:rPr>
          <w:noProof/>
          <w:sz w:val="18"/>
          <w:szCs w:val="18"/>
          <w:lang w:val="en-GB"/>
        </w:rPr>
        <w:t>”</w:t>
      </w:r>
      <w:r w:rsidRPr="006268D0">
        <w:rPr>
          <w:noProof/>
          <w:sz w:val="18"/>
          <w:szCs w:val="18"/>
          <w:lang w:val="en-GB"/>
        </w:rPr>
        <w:t xml:space="preserve"> </w:t>
      </w:r>
      <w:r w:rsidRPr="006268D0">
        <w:rPr>
          <w:i/>
          <w:iCs/>
          <w:noProof/>
          <w:sz w:val="18"/>
          <w:szCs w:val="18"/>
          <w:lang w:val="en-GB"/>
        </w:rPr>
        <w:t>Global History and Migration</w:t>
      </w:r>
      <w:r w:rsidRPr="006268D0">
        <w:rPr>
          <w:noProof/>
          <w:sz w:val="18"/>
          <w:szCs w:val="18"/>
          <w:lang w:val="en-GB"/>
        </w:rPr>
        <w:t xml:space="preserve">. </w:t>
      </w:r>
      <w:r w:rsidRPr="0099762E">
        <w:rPr>
          <w:i/>
          <w:iCs/>
          <w:noProof/>
          <w:sz w:val="18"/>
          <w:szCs w:val="18"/>
          <w:lang w:val="en-GB"/>
        </w:rPr>
        <w:t>Westview Press.</w:t>
      </w:r>
      <w:r>
        <w:rPr>
          <w:noProof/>
          <w:sz w:val="18"/>
          <w:szCs w:val="18"/>
          <w:lang w:val="en-GB"/>
        </w:rPr>
        <w:t xml:space="preserve"> (1997)</w:t>
      </w:r>
    </w:p>
    <w:p w14:paraId="6D455539" w14:textId="77777777" w:rsidR="00777DEF" w:rsidRPr="006268D0" w:rsidRDefault="00777DEF" w:rsidP="00777DEF">
      <w:pPr>
        <w:pStyle w:val="FootnoteText"/>
        <w:ind w:left="0" w:hanging="2"/>
        <w:jc w:val="both"/>
        <w:rPr>
          <w:sz w:val="18"/>
          <w:szCs w:val="18"/>
        </w:rPr>
      </w:pPr>
    </w:p>
  </w:footnote>
  <w:footnote w:id="33">
    <w:p w14:paraId="17E350B7" w14:textId="77777777" w:rsidR="00777DEF" w:rsidRPr="006268D0" w:rsidRDefault="00777DEF" w:rsidP="00777DEF">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Lauterpacht, S. E., &amp; Bethlehem, D.</w:t>
      </w:r>
      <w:r>
        <w:rPr>
          <w:noProof/>
          <w:sz w:val="18"/>
          <w:szCs w:val="18"/>
          <w:lang w:val="en-GB"/>
        </w:rPr>
        <w:t>, “</w:t>
      </w:r>
      <w:r w:rsidRPr="006268D0">
        <w:rPr>
          <w:noProof/>
          <w:sz w:val="18"/>
          <w:szCs w:val="18"/>
          <w:lang w:val="en-GB"/>
        </w:rPr>
        <w:t xml:space="preserve">The Scope and Content of the Principle of Non-Refoulement: Opinion. In E. Feller, Türk. Volker, &amp; F. Nicholson (Eds.), </w:t>
      </w:r>
      <w:r w:rsidRPr="0099762E">
        <w:rPr>
          <w:noProof/>
          <w:sz w:val="18"/>
          <w:szCs w:val="18"/>
          <w:lang w:val="en-GB"/>
        </w:rPr>
        <w:t>Refugee Protection in International Law: UNHCR’s Global Consultations on International Protection.”</w:t>
      </w:r>
      <w:r w:rsidRPr="006268D0">
        <w:rPr>
          <w:noProof/>
          <w:sz w:val="18"/>
          <w:szCs w:val="18"/>
          <w:lang w:val="en-GB"/>
        </w:rPr>
        <w:t xml:space="preserve"> </w:t>
      </w:r>
      <w:r w:rsidRPr="0099762E">
        <w:rPr>
          <w:i/>
          <w:iCs/>
          <w:noProof/>
          <w:sz w:val="18"/>
          <w:szCs w:val="18"/>
          <w:lang w:val="en-GB"/>
        </w:rPr>
        <w:t>Cambridge University Press.</w:t>
      </w:r>
      <w:r>
        <w:rPr>
          <w:noProof/>
          <w:sz w:val="18"/>
          <w:szCs w:val="18"/>
          <w:lang w:val="en-GB"/>
        </w:rPr>
        <w:t xml:space="preserve"> (2003)</w:t>
      </w:r>
    </w:p>
  </w:footnote>
  <w:footnote w:id="34">
    <w:p w14:paraId="2F9A2319" w14:textId="77777777" w:rsidR="00896DED" w:rsidRPr="007E209A" w:rsidRDefault="00896DED" w:rsidP="00896DED">
      <w:pPr>
        <w:widowControl w:val="0"/>
        <w:autoSpaceDE w:val="0"/>
        <w:autoSpaceDN w:val="0"/>
        <w:adjustRightInd w:val="0"/>
        <w:spacing w:line="240" w:lineRule="auto"/>
        <w:ind w:left="0" w:hanging="2"/>
        <w:jc w:val="both"/>
        <w:rPr>
          <w:noProof/>
          <w:color w:val="C00000"/>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 xml:space="preserve">Ni’matul Huda., Dodik S.N.H. &amp; Wardhana, A. F. G. </w:t>
      </w:r>
      <w:r>
        <w:rPr>
          <w:noProof/>
          <w:sz w:val="18"/>
          <w:szCs w:val="18"/>
          <w:lang w:val="en-GB"/>
        </w:rPr>
        <w:t>“</w:t>
      </w:r>
      <w:r w:rsidRPr="006268D0">
        <w:rPr>
          <w:noProof/>
          <w:sz w:val="18"/>
          <w:szCs w:val="18"/>
          <w:lang w:val="en-GB"/>
        </w:rPr>
        <w:t>The urgency of the constitutional preview of law on the ratification of international treaty by the Constitutional Court in Indonesia.</w:t>
      </w:r>
      <w:r>
        <w:rPr>
          <w:noProof/>
          <w:sz w:val="18"/>
          <w:szCs w:val="18"/>
          <w:lang w:val="en-GB"/>
        </w:rPr>
        <w:t>”</w:t>
      </w:r>
      <w:r w:rsidRPr="006268D0">
        <w:rPr>
          <w:noProof/>
          <w:sz w:val="18"/>
          <w:szCs w:val="18"/>
          <w:lang w:val="en-GB"/>
        </w:rPr>
        <w:t xml:space="preserve"> </w:t>
      </w:r>
      <w:r w:rsidRPr="006268D0">
        <w:rPr>
          <w:i/>
          <w:iCs/>
          <w:noProof/>
          <w:sz w:val="18"/>
          <w:szCs w:val="18"/>
          <w:lang w:val="en-GB"/>
        </w:rPr>
        <w:t>Heliyon</w:t>
      </w:r>
      <w:r w:rsidRPr="006268D0">
        <w:rPr>
          <w:noProof/>
          <w:sz w:val="18"/>
          <w:szCs w:val="18"/>
          <w:lang w:val="en-GB"/>
        </w:rPr>
        <w:t xml:space="preserve">, </w:t>
      </w:r>
      <w:r w:rsidRPr="007E209A">
        <w:rPr>
          <w:noProof/>
          <w:sz w:val="18"/>
          <w:szCs w:val="18"/>
          <w:lang w:val="en-GB"/>
        </w:rPr>
        <w:t>(2021)</w:t>
      </w:r>
      <w:r>
        <w:rPr>
          <w:i/>
          <w:iCs/>
          <w:noProof/>
          <w:sz w:val="18"/>
          <w:szCs w:val="18"/>
          <w:lang w:val="en-GB"/>
        </w:rPr>
        <w:t xml:space="preserve"> </w:t>
      </w:r>
      <w:r w:rsidRPr="006268D0">
        <w:rPr>
          <w:noProof/>
          <w:sz w:val="18"/>
          <w:szCs w:val="18"/>
          <w:lang w:val="en-GB"/>
        </w:rPr>
        <w:t xml:space="preserve">(9). </w:t>
      </w:r>
      <w:r w:rsidRPr="007E209A">
        <w:rPr>
          <w:noProof/>
          <w:color w:val="C00000"/>
          <w:sz w:val="18"/>
          <w:szCs w:val="18"/>
          <w:lang w:val="en-GB"/>
        </w:rPr>
        <w:t>https://doi.org/10.1016/J.HELIYON.2021.E07886</w:t>
      </w:r>
    </w:p>
  </w:footnote>
  <w:footnote w:id="35">
    <w:p w14:paraId="47413DA3" w14:textId="77777777" w:rsidR="00896DED" w:rsidRPr="006268D0" w:rsidRDefault="00896DED" w:rsidP="00896DED">
      <w:pPr>
        <w:pStyle w:val="FootnoteText"/>
        <w:ind w:left="0" w:hanging="2"/>
        <w:jc w:val="both"/>
        <w:rPr>
          <w:sz w:val="18"/>
          <w:szCs w:val="18"/>
        </w:rPr>
      </w:pPr>
      <w:r w:rsidRPr="006268D0">
        <w:rPr>
          <w:rStyle w:val="FootnoteReference"/>
          <w:sz w:val="18"/>
          <w:szCs w:val="18"/>
        </w:rPr>
        <w:footnoteRef/>
      </w:r>
      <w:r w:rsidRPr="006268D0">
        <w:rPr>
          <w:sz w:val="18"/>
          <w:szCs w:val="18"/>
        </w:rPr>
        <w:t xml:space="preserve"> </w:t>
      </w:r>
      <w:r w:rsidRPr="006268D0">
        <w:rPr>
          <w:sz w:val="18"/>
          <w:szCs w:val="18"/>
        </w:rPr>
        <w:fldChar w:fldCharType="begin" w:fldLock="1"/>
      </w:r>
      <w:r w:rsidRPr="006268D0">
        <w:rPr>
          <w:sz w:val="18"/>
          <w:szCs w:val="18"/>
        </w:rPr>
        <w:instrText>ADDIN CSL_CITATION {"citationItems":[{"id":"ITEM-1","itemData":{"id":"ITEM-1","issued":{"date-parts":[["0"]]},"title":"Presidential Regulation No. 125 of 2016","type":"legislation"},"uris":["http://www.mendeley.com/documents/?uuid=fe9231a0-886d-4f14-a4c6-151be7d6778d"]}],"mendeley":{"formattedCitation":"(Presidential Regulation No. 125 of 2016, n.d.)","plainTextFormattedCitation":"(Presidential Regulation No. 125 of 2016, n.d.)","previouslyFormattedCitation":"(Presidential Regulation No. 125 of 2016, n.d.)"},"properties":{"noteIndex":0},"schema":"https://github.com/citation-style-language/schema/raw/master/csl-citation.json"}</w:instrText>
      </w:r>
      <w:r w:rsidRPr="006268D0">
        <w:rPr>
          <w:sz w:val="18"/>
          <w:szCs w:val="18"/>
        </w:rPr>
        <w:fldChar w:fldCharType="separate"/>
      </w:r>
      <w:r w:rsidRPr="006268D0">
        <w:rPr>
          <w:noProof/>
          <w:sz w:val="18"/>
          <w:szCs w:val="18"/>
        </w:rPr>
        <w:t>(Presidential Regulation No. 125 of 2016, n.d.)</w:t>
      </w:r>
      <w:r w:rsidRPr="006268D0">
        <w:rPr>
          <w:sz w:val="18"/>
          <w:szCs w:val="18"/>
        </w:rPr>
        <w:fldChar w:fldCharType="end"/>
      </w:r>
    </w:p>
  </w:footnote>
  <w:footnote w:id="36">
    <w:p w14:paraId="2CE681F7" w14:textId="77777777" w:rsidR="00896DED" w:rsidRPr="006268D0" w:rsidRDefault="00896DED" w:rsidP="00896DED">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Syahrin, M. A.</w:t>
      </w:r>
      <w:r>
        <w:rPr>
          <w:noProof/>
          <w:sz w:val="18"/>
          <w:szCs w:val="18"/>
          <w:lang w:val="en-GB"/>
        </w:rPr>
        <w:t>, “</w:t>
      </w:r>
      <w:r w:rsidRPr="006268D0">
        <w:rPr>
          <w:noProof/>
          <w:sz w:val="18"/>
          <w:szCs w:val="18"/>
          <w:lang w:val="en-GB"/>
        </w:rPr>
        <w:t>Tafsir Yuridis Peraturan Direktur Jenderal Imigrasi Nomor IMI-0352.GR.02.07 Tahun 2016 tentang Penanganan Imigrasi Ilegal yang menyatakan diri Sebagai Pencari Suaka atau Pengungsi dalam Kebijakan Selektif Keimigrasian: Pendekatan Teori Hierarki Norma Huku</w:t>
      </w:r>
      <w:r>
        <w:rPr>
          <w:noProof/>
          <w:sz w:val="18"/>
          <w:szCs w:val="18"/>
          <w:lang w:val="en-GB"/>
        </w:rPr>
        <w:t>m</w:t>
      </w:r>
      <w:r w:rsidRPr="006268D0">
        <w:rPr>
          <w:noProof/>
          <w:sz w:val="18"/>
          <w:szCs w:val="18"/>
          <w:lang w:val="en-GB"/>
        </w:rPr>
        <w:t>.</w:t>
      </w:r>
      <w:r>
        <w:rPr>
          <w:noProof/>
          <w:sz w:val="18"/>
          <w:szCs w:val="18"/>
          <w:lang w:val="en-GB"/>
        </w:rPr>
        <w:t>”</w:t>
      </w:r>
      <w:r w:rsidRPr="006268D0">
        <w:rPr>
          <w:noProof/>
          <w:sz w:val="18"/>
          <w:szCs w:val="18"/>
          <w:lang w:val="en-GB"/>
        </w:rPr>
        <w:t xml:space="preserve"> </w:t>
      </w:r>
      <w:r w:rsidRPr="006268D0">
        <w:rPr>
          <w:i/>
          <w:iCs/>
          <w:noProof/>
          <w:sz w:val="18"/>
          <w:szCs w:val="18"/>
          <w:lang w:val="en-GB"/>
        </w:rPr>
        <w:t>Jurnal Ilmiah Kajian Keimigrasian</w:t>
      </w:r>
      <w:r w:rsidRPr="006268D0">
        <w:rPr>
          <w:noProof/>
          <w:sz w:val="18"/>
          <w:szCs w:val="18"/>
          <w:lang w:val="en-GB"/>
        </w:rPr>
        <w:t xml:space="preserve">, </w:t>
      </w:r>
      <w:r>
        <w:rPr>
          <w:noProof/>
          <w:sz w:val="18"/>
          <w:szCs w:val="18"/>
          <w:lang w:val="en-GB"/>
        </w:rPr>
        <w:t>(2019)</w:t>
      </w:r>
      <w:r w:rsidRPr="006268D0">
        <w:rPr>
          <w:i/>
          <w:iCs/>
          <w:noProof/>
          <w:sz w:val="18"/>
          <w:szCs w:val="18"/>
          <w:lang w:val="en-GB"/>
        </w:rPr>
        <w:t>2</w:t>
      </w:r>
      <w:r w:rsidRPr="006268D0">
        <w:rPr>
          <w:noProof/>
          <w:sz w:val="18"/>
          <w:szCs w:val="18"/>
          <w:lang w:val="en-GB"/>
        </w:rPr>
        <w:t>.</w:t>
      </w:r>
    </w:p>
  </w:footnote>
  <w:footnote w:id="37">
    <w:p w14:paraId="22149BDA" w14:textId="77777777" w:rsidR="00896DED" w:rsidRPr="006268D0" w:rsidRDefault="00896DED" w:rsidP="00896DED">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Muhyiddin.</w:t>
      </w:r>
      <w:r>
        <w:rPr>
          <w:noProof/>
          <w:sz w:val="18"/>
          <w:szCs w:val="18"/>
          <w:lang w:val="en-GB"/>
        </w:rPr>
        <w:t xml:space="preserve"> “</w:t>
      </w:r>
      <w:r w:rsidRPr="006268D0">
        <w:rPr>
          <w:noProof/>
          <w:sz w:val="18"/>
          <w:szCs w:val="18"/>
          <w:lang w:val="en-GB"/>
        </w:rPr>
        <w:t>Covid-19, New-Normal dan Perencanaan Pembangunan Indonesia.</w:t>
      </w:r>
      <w:r>
        <w:rPr>
          <w:noProof/>
          <w:sz w:val="18"/>
          <w:szCs w:val="18"/>
          <w:lang w:val="en-GB"/>
        </w:rPr>
        <w:t>”</w:t>
      </w:r>
      <w:r w:rsidRPr="006268D0">
        <w:rPr>
          <w:noProof/>
          <w:sz w:val="18"/>
          <w:szCs w:val="18"/>
          <w:lang w:val="en-GB"/>
        </w:rPr>
        <w:t xml:space="preserve"> </w:t>
      </w:r>
      <w:r w:rsidRPr="006268D0">
        <w:rPr>
          <w:i/>
          <w:iCs/>
          <w:noProof/>
          <w:sz w:val="18"/>
          <w:szCs w:val="18"/>
          <w:lang w:val="en-GB"/>
        </w:rPr>
        <w:t>The Indonesian Journal of Development Planning</w:t>
      </w:r>
      <w:r w:rsidRPr="006268D0">
        <w:rPr>
          <w:noProof/>
          <w:sz w:val="18"/>
          <w:szCs w:val="18"/>
          <w:lang w:val="en-GB"/>
        </w:rPr>
        <w:t xml:space="preserve">, </w:t>
      </w:r>
      <w:r>
        <w:rPr>
          <w:noProof/>
          <w:sz w:val="18"/>
          <w:szCs w:val="18"/>
          <w:lang w:val="en-GB"/>
        </w:rPr>
        <w:t xml:space="preserve">(2020) </w:t>
      </w:r>
      <w:r w:rsidRPr="006268D0">
        <w:rPr>
          <w:i/>
          <w:iCs/>
          <w:noProof/>
          <w:sz w:val="18"/>
          <w:szCs w:val="18"/>
          <w:lang w:val="en-GB"/>
        </w:rPr>
        <w:t>4</w:t>
      </w:r>
      <w:r w:rsidRPr="006268D0">
        <w:rPr>
          <w:noProof/>
          <w:sz w:val="18"/>
          <w:szCs w:val="18"/>
          <w:lang w:val="en-GB"/>
        </w:rPr>
        <w:t>.</w:t>
      </w:r>
    </w:p>
  </w:footnote>
  <w:footnote w:id="38">
    <w:p w14:paraId="0BABB9BD" w14:textId="77777777" w:rsidR="00896DED" w:rsidRPr="006268D0" w:rsidRDefault="00896DED" w:rsidP="00896DED">
      <w:pPr>
        <w:widowControl w:val="0"/>
        <w:autoSpaceDE w:val="0"/>
        <w:autoSpaceDN w:val="0"/>
        <w:adjustRightInd w:val="0"/>
        <w:spacing w:line="240" w:lineRule="auto"/>
        <w:ind w:left="0" w:hanging="2"/>
        <w:jc w:val="both"/>
        <w:rPr>
          <w:noProof/>
          <w:sz w:val="18"/>
          <w:szCs w:val="18"/>
          <w:lang w:val="en-GB"/>
        </w:rPr>
      </w:pPr>
      <w:r w:rsidRPr="006268D0">
        <w:rPr>
          <w:rStyle w:val="FootnoteReference"/>
          <w:sz w:val="18"/>
          <w:szCs w:val="18"/>
        </w:rPr>
        <w:footnoteRef/>
      </w:r>
      <w:r w:rsidRPr="006268D0">
        <w:rPr>
          <w:sz w:val="18"/>
          <w:szCs w:val="18"/>
        </w:rPr>
        <w:t xml:space="preserve"> A. </w:t>
      </w:r>
      <w:r w:rsidRPr="006268D0">
        <w:rPr>
          <w:noProof/>
          <w:sz w:val="18"/>
          <w:szCs w:val="18"/>
          <w:lang w:val="en-GB"/>
        </w:rPr>
        <w:t xml:space="preserve">Muzafar. </w:t>
      </w:r>
      <w:r>
        <w:rPr>
          <w:noProof/>
          <w:sz w:val="18"/>
          <w:szCs w:val="18"/>
          <w:lang w:val="en-GB"/>
        </w:rPr>
        <w:t>“</w:t>
      </w:r>
      <w:r w:rsidRPr="006268D0">
        <w:rPr>
          <w:noProof/>
          <w:sz w:val="18"/>
          <w:szCs w:val="18"/>
          <w:lang w:val="en-GB"/>
        </w:rPr>
        <w:t>Asylum Seekers and Refugees in Indonesia: Problems and Potentials.</w:t>
      </w:r>
      <w:r>
        <w:rPr>
          <w:noProof/>
          <w:sz w:val="18"/>
          <w:szCs w:val="18"/>
          <w:lang w:val="en-GB"/>
        </w:rPr>
        <w:t>”</w:t>
      </w:r>
      <w:r w:rsidRPr="006268D0">
        <w:rPr>
          <w:noProof/>
          <w:sz w:val="18"/>
          <w:szCs w:val="18"/>
          <w:lang w:val="en-GB"/>
        </w:rPr>
        <w:t xml:space="preserve"> </w:t>
      </w:r>
      <w:r w:rsidRPr="006268D0">
        <w:rPr>
          <w:i/>
          <w:iCs/>
          <w:noProof/>
          <w:sz w:val="18"/>
          <w:szCs w:val="18"/>
          <w:lang w:val="en-GB"/>
        </w:rPr>
        <w:t>Cosmopolitan Civil Societies Journal</w:t>
      </w:r>
      <w:r w:rsidRPr="006268D0">
        <w:rPr>
          <w:noProof/>
          <w:sz w:val="18"/>
          <w:szCs w:val="18"/>
          <w:lang w:val="en-GB"/>
        </w:rPr>
        <w:t xml:space="preserve">, </w:t>
      </w:r>
      <w:r>
        <w:rPr>
          <w:noProof/>
          <w:sz w:val="18"/>
          <w:szCs w:val="18"/>
          <w:lang w:val="en-GB"/>
        </w:rPr>
        <w:t xml:space="preserve">(2016) </w:t>
      </w:r>
      <w:r w:rsidRPr="00FC43D7">
        <w:rPr>
          <w:noProof/>
          <w:sz w:val="18"/>
          <w:szCs w:val="18"/>
          <w:lang w:val="en-GB"/>
        </w:rPr>
        <w:t>8</w:t>
      </w:r>
    </w:p>
    <w:p w14:paraId="56013C55" w14:textId="77777777" w:rsidR="00896DED" w:rsidRPr="006268D0" w:rsidRDefault="00896DED" w:rsidP="00896DED">
      <w:pPr>
        <w:pStyle w:val="FootnoteText"/>
        <w:ind w:left="0" w:hanging="2"/>
        <w:jc w:val="both"/>
        <w:rPr>
          <w:sz w:val="18"/>
          <w:szCs w:val="18"/>
        </w:rPr>
      </w:pPr>
    </w:p>
  </w:footnote>
  <w:footnote w:id="39">
    <w:p w14:paraId="08747D52" w14:textId="77777777" w:rsidR="00896DED" w:rsidRPr="008D3DE1" w:rsidRDefault="00896DED" w:rsidP="00896DED">
      <w:pPr>
        <w:widowControl w:val="0"/>
        <w:autoSpaceDE w:val="0"/>
        <w:autoSpaceDN w:val="0"/>
        <w:adjustRightInd w:val="0"/>
        <w:spacing w:line="240" w:lineRule="auto"/>
        <w:ind w:left="0" w:hanging="2"/>
        <w:jc w:val="both"/>
        <w:rPr>
          <w:noProof/>
          <w:color w:val="FF0000"/>
          <w:sz w:val="18"/>
          <w:szCs w:val="18"/>
          <w:lang w:val="en-GB"/>
        </w:rPr>
      </w:pPr>
      <w:r w:rsidRPr="006268D0">
        <w:rPr>
          <w:rStyle w:val="FootnoteReference"/>
          <w:sz w:val="18"/>
          <w:szCs w:val="18"/>
        </w:rPr>
        <w:footnoteRef/>
      </w:r>
      <w:r w:rsidRPr="006268D0">
        <w:rPr>
          <w:sz w:val="18"/>
          <w:szCs w:val="18"/>
        </w:rPr>
        <w:t xml:space="preserve"> </w:t>
      </w:r>
      <w:r w:rsidRPr="006268D0">
        <w:rPr>
          <w:noProof/>
          <w:sz w:val="18"/>
          <w:szCs w:val="18"/>
          <w:lang w:val="en-GB"/>
        </w:rPr>
        <w:t xml:space="preserve">Abdullah Sani. </w:t>
      </w:r>
      <w:r w:rsidRPr="006268D0">
        <w:rPr>
          <w:i/>
          <w:iCs/>
          <w:noProof/>
          <w:sz w:val="18"/>
          <w:szCs w:val="18"/>
          <w:lang w:val="en-GB"/>
        </w:rPr>
        <w:t xml:space="preserve">Darurat, imigran di Riau mulai palsukan KTP hingga jadi gigolo </w:t>
      </w:r>
      <w:r w:rsidRPr="006268D0">
        <w:rPr>
          <w:noProof/>
          <w:sz w:val="18"/>
          <w:szCs w:val="18"/>
          <w:lang w:val="en-GB"/>
        </w:rPr>
        <w:t xml:space="preserve">(2015). </w:t>
      </w:r>
      <w:r w:rsidRPr="006268D0">
        <w:rPr>
          <w:i/>
          <w:iCs/>
          <w:noProof/>
          <w:sz w:val="18"/>
          <w:szCs w:val="18"/>
          <w:lang w:val="en-GB"/>
        </w:rPr>
        <w:t>| merdeka.com</w:t>
      </w:r>
      <w:r w:rsidRPr="006268D0">
        <w:rPr>
          <w:noProof/>
          <w:sz w:val="18"/>
          <w:szCs w:val="18"/>
          <w:lang w:val="en-GB"/>
        </w:rPr>
        <w:t xml:space="preserve">. </w:t>
      </w:r>
      <w:r w:rsidRPr="00B97EAE">
        <w:rPr>
          <w:noProof/>
          <w:color w:val="C00000"/>
          <w:sz w:val="18"/>
          <w:szCs w:val="18"/>
          <w:lang w:val="en-GB"/>
        </w:rPr>
        <w:t>https://m.merdeka.com/berita-trending/20150422/peristiwa/17-darurat-imigran-di-riau-mulai-palsukan-ktp-hingga-jadi-gigolo.html</w:t>
      </w:r>
    </w:p>
  </w:footnote>
  <w:footnote w:id="40">
    <w:p w14:paraId="0E5F4A7B" w14:textId="77777777" w:rsidR="00BF38AF" w:rsidRPr="008D3DE1" w:rsidRDefault="00BF38AF" w:rsidP="00BF38AF">
      <w:pPr>
        <w:pStyle w:val="FootnoteText"/>
        <w:ind w:left="0" w:hanging="2"/>
        <w:rPr>
          <w:rFonts w:asciiTheme="minorHAnsi" w:hAnsiTheme="minorHAnsi" w:cstheme="minorHAnsi"/>
          <w:color w:val="FF0000"/>
          <w:sz w:val="18"/>
          <w:szCs w:val="18"/>
        </w:rPr>
      </w:pPr>
      <w:r w:rsidRPr="008D3DE1">
        <w:rPr>
          <w:rStyle w:val="FootnoteReference"/>
          <w:rFonts w:asciiTheme="minorHAnsi" w:hAnsiTheme="minorHAnsi" w:cstheme="minorHAnsi"/>
          <w:sz w:val="18"/>
          <w:szCs w:val="18"/>
        </w:rPr>
        <w:footnoteRef/>
      </w:r>
      <w:r w:rsidRPr="008D3DE1">
        <w:rPr>
          <w:rFonts w:asciiTheme="minorHAnsi" w:hAnsiTheme="minorHAnsi" w:cstheme="minorHAnsi"/>
          <w:sz w:val="18"/>
          <w:szCs w:val="18"/>
        </w:rPr>
        <w:t xml:space="preserve"> McDonough P and </w:t>
      </w:r>
      <w:proofErr w:type="spellStart"/>
      <w:r w:rsidRPr="008D3DE1">
        <w:rPr>
          <w:rFonts w:asciiTheme="minorHAnsi" w:hAnsiTheme="minorHAnsi" w:cstheme="minorHAnsi"/>
          <w:sz w:val="18"/>
          <w:szCs w:val="18"/>
        </w:rPr>
        <w:t>Tsourdi</w:t>
      </w:r>
      <w:proofErr w:type="spellEnd"/>
      <w:r w:rsidRPr="008D3DE1">
        <w:rPr>
          <w:rFonts w:asciiTheme="minorHAnsi" w:hAnsiTheme="minorHAnsi" w:cstheme="minorHAnsi"/>
          <w:sz w:val="18"/>
          <w:szCs w:val="18"/>
        </w:rPr>
        <w:t xml:space="preserve"> E, (</w:t>
      </w:r>
      <w:r w:rsidRPr="008D3DE1">
        <w:rPr>
          <w:rFonts w:asciiTheme="minorHAnsi" w:hAnsiTheme="minorHAnsi" w:cstheme="minorHAnsi"/>
          <w:i/>
          <w:iCs/>
          <w:sz w:val="18"/>
          <w:szCs w:val="18"/>
        </w:rPr>
        <w:t>The ‘other’ Greek crisis: Asylum and EU solidarity</w:t>
      </w:r>
      <w:r w:rsidRPr="008D3DE1">
        <w:rPr>
          <w:rFonts w:asciiTheme="minorHAnsi" w:hAnsiTheme="minorHAnsi" w:cstheme="minorHAnsi"/>
          <w:sz w:val="18"/>
          <w:szCs w:val="18"/>
        </w:rPr>
        <w:t>. (Refugee Survey Quarterly 3 Ver 4 2021), 68.</w:t>
      </w:r>
    </w:p>
  </w:footnote>
  <w:footnote w:id="41">
    <w:p w14:paraId="78B90428" w14:textId="77777777" w:rsidR="00BF38AF" w:rsidRPr="00B97EAE" w:rsidRDefault="00BF38AF" w:rsidP="00BF38AF">
      <w:pPr>
        <w:pStyle w:val="FootnoteText"/>
        <w:ind w:left="0" w:hanging="2"/>
        <w:rPr>
          <w:rFonts w:asciiTheme="minorHAnsi" w:hAnsiTheme="minorHAnsi" w:cstheme="minorHAnsi"/>
          <w:sz w:val="18"/>
          <w:szCs w:val="18"/>
        </w:rPr>
      </w:pPr>
      <w:r w:rsidRPr="008D3DE1">
        <w:rPr>
          <w:rStyle w:val="FootnoteReference"/>
          <w:rFonts w:asciiTheme="minorHAnsi" w:hAnsiTheme="minorHAnsi" w:cstheme="minorHAnsi"/>
          <w:sz w:val="18"/>
          <w:szCs w:val="18"/>
        </w:rPr>
        <w:footnoteRef/>
      </w:r>
      <w:r w:rsidRPr="008D3DE1">
        <w:rPr>
          <w:rFonts w:asciiTheme="minorHAnsi" w:hAnsiTheme="minorHAnsi" w:cstheme="minorHAnsi"/>
          <w:sz w:val="18"/>
          <w:szCs w:val="18"/>
        </w:rPr>
        <w:t xml:space="preserve"> Bast J, </w:t>
      </w:r>
      <w:r w:rsidRPr="008D3DE1">
        <w:rPr>
          <w:rFonts w:asciiTheme="minorHAnsi" w:hAnsiTheme="minorHAnsi" w:cstheme="minorHAnsi"/>
          <w:i/>
          <w:iCs/>
          <w:sz w:val="18"/>
          <w:szCs w:val="18"/>
        </w:rPr>
        <w:t>Deepening supranational integration: Interstate solidarity in EU migration</w:t>
      </w:r>
      <w:r>
        <w:rPr>
          <w:rFonts w:asciiTheme="minorHAnsi" w:hAnsiTheme="minorHAnsi" w:cstheme="minorHAnsi"/>
          <w:i/>
          <w:iCs/>
          <w:sz w:val="18"/>
          <w:szCs w:val="18"/>
        </w:rPr>
        <w:t xml:space="preserve"> </w:t>
      </w:r>
      <w:r w:rsidRPr="008D3DE1">
        <w:rPr>
          <w:rFonts w:asciiTheme="minorHAnsi" w:hAnsiTheme="minorHAnsi" w:cstheme="minorHAnsi"/>
          <w:i/>
          <w:iCs/>
          <w:sz w:val="18"/>
          <w:szCs w:val="18"/>
        </w:rPr>
        <w:t>Law</w:t>
      </w:r>
      <w:r w:rsidRPr="008D3DE1">
        <w:rPr>
          <w:rFonts w:asciiTheme="minorHAnsi" w:hAnsiTheme="minorHAnsi" w:cstheme="minorHAnsi"/>
          <w:sz w:val="18"/>
          <w:szCs w:val="18"/>
        </w:rPr>
        <w:t>, (European Public Law 2016), 289.</w:t>
      </w:r>
    </w:p>
  </w:footnote>
  <w:footnote w:id="42">
    <w:p w14:paraId="6CE16A90" w14:textId="77777777" w:rsidR="00BF38AF" w:rsidRPr="008D3DE1" w:rsidRDefault="00BF38AF" w:rsidP="00BF38AF">
      <w:pPr>
        <w:pStyle w:val="ListParagraph"/>
        <w:tabs>
          <w:tab w:val="left" w:pos="426"/>
        </w:tabs>
        <w:spacing w:line="240" w:lineRule="auto"/>
        <w:ind w:left="0" w:hanging="2"/>
        <w:jc w:val="both"/>
        <w:rPr>
          <w:rFonts w:asciiTheme="minorHAnsi" w:hAnsiTheme="minorHAnsi" w:cstheme="minorHAnsi"/>
          <w:sz w:val="18"/>
          <w:szCs w:val="18"/>
        </w:rPr>
      </w:pPr>
      <w:r w:rsidRPr="008D3DE1">
        <w:rPr>
          <w:rStyle w:val="FootnoteReference"/>
          <w:rFonts w:asciiTheme="minorHAnsi" w:hAnsiTheme="minorHAnsi" w:cstheme="minorHAnsi"/>
          <w:sz w:val="18"/>
          <w:szCs w:val="18"/>
        </w:rPr>
        <w:footnoteRef/>
      </w:r>
      <w:r w:rsidRPr="008D3DE1">
        <w:rPr>
          <w:rFonts w:asciiTheme="minorHAnsi" w:hAnsiTheme="minorHAnsi" w:cstheme="minorHAnsi"/>
          <w:sz w:val="18"/>
          <w:szCs w:val="18"/>
        </w:rPr>
        <w:t xml:space="preserve"> Council of the European Union</w:t>
      </w:r>
      <w:r>
        <w:rPr>
          <w:rFonts w:asciiTheme="minorHAnsi" w:hAnsiTheme="minorHAnsi" w:cstheme="minorHAnsi"/>
          <w:sz w:val="18"/>
          <w:szCs w:val="18"/>
        </w:rPr>
        <w:t xml:space="preserve"> </w:t>
      </w:r>
      <w:r w:rsidRPr="008D3DE1">
        <w:rPr>
          <w:rFonts w:asciiTheme="minorHAnsi" w:hAnsiTheme="minorHAnsi" w:cstheme="minorHAnsi"/>
          <w:i/>
          <w:iCs/>
          <w:sz w:val="18"/>
          <w:szCs w:val="18"/>
        </w:rPr>
        <w:t>“Council Decision (EU)”</w:t>
      </w:r>
      <w:r>
        <w:rPr>
          <w:rFonts w:asciiTheme="minorHAnsi" w:hAnsiTheme="minorHAnsi" w:cstheme="minorHAnsi"/>
          <w:i/>
          <w:iCs/>
          <w:sz w:val="18"/>
          <w:szCs w:val="18"/>
        </w:rPr>
        <w:t xml:space="preserve"> </w:t>
      </w:r>
      <w:r w:rsidRPr="008D3DE1">
        <w:rPr>
          <w:rFonts w:asciiTheme="minorHAnsi" w:hAnsiTheme="minorHAnsi" w:cstheme="minorHAnsi"/>
          <w:sz w:val="18"/>
          <w:szCs w:val="18"/>
        </w:rPr>
        <w:t xml:space="preserve">14 September 2015 establishing provisional measures </w:t>
      </w:r>
      <w:proofErr w:type="gramStart"/>
      <w:r w:rsidRPr="008D3DE1">
        <w:rPr>
          <w:rFonts w:asciiTheme="minorHAnsi" w:hAnsiTheme="minorHAnsi" w:cstheme="minorHAnsi"/>
          <w:sz w:val="18"/>
          <w:szCs w:val="18"/>
        </w:rPr>
        <w:t>in the area of</w:t>
      </w:r>
      <w:proofErr w:type="gramEnd"/>
      <w:r w:rsidRPr="008D3DE1">
        <w:rPr>
          <w:rFonts w:asciiTheme="minorHAnsi" w:hAnsiTheme="minorHAnsi" w:cstheme="minorHAnsi"/>
          <w:sz w:val="18"/>
          <w:szCs w:val="18"/>
        </w:rPr>
        <w:t xml:space="preserve"> international protection for the benefit of Italy and of Greece’, OJ L 239, 15.9.2015.</w:t>
      </w:r>
    </w:p>
  </w:footnote>
  <w:footnote w:id="43">
    <w:p w14:paraId="1EC21638" w14:textId="77777777" w:rsidR="00BF38AF" w:rsidRPr="00B97EAE" w:rsidRDefault="00BF38AF" w:rsidP="00BF38AF">
      <w:pPr>
        <w:pStyle w:val="ListParagraph"/>
        <w:tabs>
          <w:tab w:val="left" w:pos="426"/>
        </w:tabs>
        <w:spacing w:line="240" w:lineRule="auto"/>
        <w:ind w:left="0" w:hanging="2"/>
        <w:jc w:val="both"/>
        <w:rPr>
          <w:rFonts w:asciiTheme="minorHAnsi" w:hAnsiTheme="minorHAnsi" w:cstheme="minorHAnsi"/>
          <w:sz w:val="18"/>
          <w:szCs w:val="18"/>
        </w:rPr>
      </w:pPr>
      <w:r w:rsidRPr="008D3DE1">
        <w:rPr>
          <w:rStyle w:val="FootnoteReference"/>
          <w:rFonts w:asciiTheme="minorHAnsi" w:hAnsiTheme="minorHAnsi" w:cstheme="minorHAnsi"/>
          <w:sz w:val="18"/>
          <w:szCs w:val="18"/>
        </w:rPr>
        <w:footnoteRef/>
      </w:r>
      <w:r w:rsidRPr="008D3DE1">
        <w:rPr>
          <w:rFonts w:asciiTheme="minorHAnsi" w:hAnsiTheme="minorHAnsi" w:cstheme="minorHAnsi"/>
          <w:sz w:val="18"/>
          <w:szCs w:val="18"/>
        </w:rPr>
        <w:t xml:space="preserve"> Council of the European Union</w:t>
      </w:r>
      <w:r>
        <w:rPr>
          <w:rFonts w:asciiTheme="minorHAnsi" w:hAnsiTheme="minorHAnsi" w:cstheme="minorHAnsi"/>
          <w:sz w:val="18"/>
          <w:szCs w:val="18"/>
        </w:rPr>
        <w:t xml:space="preserve"> </w:t>
      </w:r>
      <w:r w:rsidRPr="008D3DE1">
        <w:rPr>
          <w:rFonts w:asciiTheme="minorHAnsi" w:hAnsiTheme="minorHAnsi" w:cstheme="minorHAnsi"/>
          <w:sz w:val="18"/>
          <w:szCs w:val="18"/>
        </w:rPr>
        <w:t>“</w:t>
      </w:r>
      <w:r w:rsidRPr="008D3DE1">
        <w:rPr>
          <w:rFonts w:asciiTheme="minorHAnsi" w:hAnsiTheme="minorHAnsi" w:cstheme="minorHAnsi"/>
          <w:i/>
          <w:iCs/>
          <w:sz w:val="18"/>
          <w:szCs w:val="18"/>
        </w:rPr>
        <w:t>Council Decision (EU)”</w:t>
      </w:r>
      <w:r>
        <w:rPr>
          <w:rFonts w:asciiTheme="minorHAnsi" w:hAnsiTheme="minorHAnsi" w:cstheme="minorHAnsi"/>
          <w:sz w:val="18"/>
          <w:szCs w:val="18"/>
        </w:rPr>
        <w:t xml:space="preserve"> </w:t>
      </w:r>
      <w:r w:rsidRPr="008D3DE1">
        <w:rPr>
          <w:rFonts w:asciiTheme="minorHAnsi" w:hAnsiTheme="minorHAnsi" w:cstheme="minorHAnsi"/>
          <w:sz w:val="18"/>
          <w:szCs w:val="18"/>
        </w:rPr>
        <w:t xml:space="preserve">22 September 2015 establishing provisional measures </w:t>
      </w:r>
      <w:proofErr w:type="gramStart"/>
      <w:r w:rsidRPr="008D3DE1">
        <w:rPr>
          <w:rFonts w:asciiTheme="minorHAnsi" w:hAnsiTheme="minorHAnsi" w:cstheme="minorHAnsi"/>
          <w:sz w:val="18"/>
          <w:szCs w:val="18"/>
        </w:rPr>
        <w:t>in the area of</w:t>
      </w:r>
      <w:proofErr w:type="gramEnd"/>
      <w:r w:rsidRPr="008D3DE1">
        <w:rPr>
          <w:rFonts w:asciiTheme="minorHAnsi" w:hAnsiTheme="minorHAnsi" w:cstheme="minorHAnsi"/>
          <w:sz w:val="18"/>
          <w:szCs w:val="18"/>
        </w:rPr>
        <w:t xml:space="preserve"> international protection for the benefit of Italy and Greece, OJ L248, 24.9.2015.</w:t>
      </w:r>
    </w:p>
  </w:footnote>
  <w:footnote w:id="44">
    <w:p w14:paraId="16DB1838" w14:textId="77777777" w:rsidR="00BF38AF" w:rsidRPr="00B97EAE" w:rsidRDefault="00BF38AF" w:rsidP="00BF38AF">
      <w:pPr>
        <w:pStyle w:val="FootnoteText"/>
        <w:ind w:left="0" w:hanging="2"/>
        <w:rPr>
          <w:rFonts w:asciiTheme="minorHAnsi" w:hAnsiTheme="minorHAnsi" w:cstheme="minorHAnsi"/>
          <w:color w:val="FF0000"/>
          <w:sz w:val="18"/>
          <w:szCs w:val="18"/>
        </w:rPr>
      </w:pPr>
      <w:r w:rsidRPr="00B97EAE">
        <w:rPr>
          <w:rStyle w:val="FootnoteReference"/>
          <w:rFonts w:asciiTheme="minorHAnsi" w:hAnsiTheme="minorHAnsi" w:cstheme="minorHAnsi"/>
          <w:sz w:val="18"/>
          <w:szCs w:val="18"/>
        </w:rPr>
        <w:footnoteRef/>
      </w:r>
      <w:r w:rsidRPr="00B97EAE">
        <w:rPr>
          <w:rFonts w:asciiTheme="minorHAnsi" w:hAnsiTheme="minorHAnsi" w:cstheme="minorHAnsi"/>
          <w:sz w:val="18"/>
          <w:szCs w:val="18"/>
        </w:rPr>
        <w:t xml:space="preserve"> </w:t>
      </w:r>
      <w:proofErr w:type="spellStart"/>
      <w:r w:rsidRPr="00B97EAE">
        <w:rPr>
          <w:rFonts w:asciiTheme="minorHAnsi" w:hAnsiTheme="minorHAnsi" w:cstheme="minorHAnsi"/>
          <w:sz w:val="18"/>
          <w:szCs w:val="18"/>
        </w:rPr>
        <w:t>Monar</w:t>
      </w:r>
      <w:proofErr w:type="spellEnd"/>
      <w:r w:rsidRPr="00B97EAE">
        <w:rPr>
          <w:rFonts w:asciiTheme="minorHAnsi" w:hAnsiTheme="minorHAnsi" w:cstheme="minorHAnsi"/>
          <w:sz w:val="18"/>
          <w:szCs w:val="18"/>
        </w:rPr>
        <w:t xml:space="preserve"> J “Justice and Home Affairs” </w:t>
      </w:r>
      <w:r w:rsidRPr="00B97EAE">
        <w:rPr>
          <w:rFonts w:asciiTheme="minorHAnsi" w:hAnsiTheme="minorHAnsi" w:cstheme="minorHAnsi"/>
          <w:i/>
          <w:iCs/>
          <w:sz w:val="18"/>
          <w:szCs w:val="18"/>
        </w:rPr>
        <w:t>Journal of Common Market Studies</w:t>
      </w:r>
      <w:r w:rsidRPr="00B97EAE">
        <w:rPr>
          <w:rFonts w:asciiTheme="minorHAnsi" w:hAnsiTheme="minorHAnsi" w:cstheme="minorHAnsi"/>
          <w:sz w:val="18"/>
          <w:szCs w:val="18"/>
        </w:rPr>
        <w:t xml:space="preserve"> 49 S1 </w:t>
      </w:r>
      <w:r>
        <w:rPr>
          <w:rFonts w:asciiTheme="minorHAnsi" w:hAnsiTheme="minorHAnsi" w:cstheme="minorHAnsi"/>
          <w:sz w:val="18"/>
          <w:szCs w:val="18"/>
        </w:rPr>
        <w:t>(</w:t>
      </w:r>
      <w:r w:rsidRPr="00B97EAE">
        <w:rPr>
          <w:rFonts w:asciiTheme="minorHAnsi" w:hAnsiTheme="minorHAnsi" w:cstheme="minorHAnsi"/>
          <w:sz w:val="18"/>
          <w:szCs w:val="18"/>
        </w:rPr>
        <w:t>2011</w:t>
      </w:r>
      <w:r>
        <w:rPr>
          <w:rFonts w:asciiTheme="minorHAnsi" w:hAnsiTheme="minorHAnsi" w:cstheme="minorHAnsi"/>
          <w:sz w:val="18"/>
          <w:szCs w:val="18"/>
        </w:rPr>
        <w:t>)</w:t>
      </w:r>
      <w:r w:rsidRPr="00B97EAE">
        <w:rPr>
          <w:rFonts w:asciiTheme="minorHAnsi" w:hAnsiTheme="minorHAnsi" w:cstheme="minorHAnsi"/>
          <w:sz w:val="18"/>
          <w:szCs w:val="18"/>
        </w:rPr>
        <w:t>, 146</w:t>
      </w:r>
    </w:p>
  </w:footnote>
  <w:footnote w:id="45">
    <w:p w14:paraId="6E3CE6D2" w14:textId="77777777" w:rsidR="00BF38AF" w:rsidRPr="00642AED" w:rsidRDefault="00BF38AF" w:rsidP="00BF38AF">
      <w:pPr>
        <w:pStyle w:val="FootnoteText"/>
        <w:ind w:left="0" w:hanging="2"/>
        <w:rPr>
          <w:rFonts w:asciiTheme="minorHAnsi" w:hAnsiTheme="minorHAnsi" w:cstheme="minorHAnsi"/>
          <w:sz w:val="18"/>
          <w:szCs w:val="18"/>
        </w:rPr>
      </w:pPr>
      <w:r w:rsidRPr="00642AED">
        <w:rPr>
          <w:rStyle w:val="FootnoteReference"/>
          <w:rFonts w:asciiTheme="minorHAnsi" w:hAnsiTheme="minorHAnsi" w:cstheme="minorHAnsi"/>
          <w:sz w:val="18"/>
          <w:szCs w:val="18"/>
        </w:rPr>
        <w:footnoteRef/>
      </w:r>
      <w:r w:rsidRPr="00642AED">
        <w:rPr>
          <w:rFonts w:asciiTheme="minorHAnsi" w:hAnsiTheme="minorHAnsi" w:cstheme="minorHAnsi"/>
          <w:sz w:val="18"/>
          <w:szCs w:val="18"/>
        </w:rPr>
        <w:t xml:space="preserve"> </w:t>
      </w:r>
      <w:proofErr w:type="spellStart"/>
      <w:r w:rsidRPr="00642AED">
        <w:rPr>
          <w:rFonts w:asciiTheme="minorHAnsi" w:hAnsiTheme="minorHAnsi" w:cstheme="minorHAnsi"/>
          <w:sz w:val="18"/>
          <w:szCs w:val="18"/>
        </w:rPr>
        <w:t>Zaun</w:t>
      </w:r>
      <w:proofErr w:type="spellEnd"/>
      <w:r w:rsidRPr="00642AED">
        <w:rPr>
          <w:rFonts w:asciiTheme="minorHAnsi" w:hAnsiTheme="minorHAnsi" w:cstheme="minorHAnsi"/>
          <w:sz w:val="18"/>
          <w:szCs w:val="18"/>
        </w:rPr>
        <w:t xml:space="preserve"> N, </w:t>
      </w:r>
      <w:r w:rsidRPr="00642AED">
        <w:rPr>
          <w:rFonts w:asciiTheme="minorHAnsi" w:hAnsiTheme="minorHAnsi" w:cstheme="minorHAnsi"/>
          <w:i/>
          <w:iCs/>
          <w:sz w:val="18"/>
          <w:szCs w:val="18"/>
        </w:rPr>
        <w:t>EU Asylum Policies: The Power of Strong Regulating States.</w:t>
      </w:r>
      <w:r w:rsidRPr="00642AED">
        <w:rPr>
          <w:rFonts w:asciiTheme="minorHAnsi" w:hAnsiTheme="minorHAnsi" w:cstheme="minorHAnsi"/>
          <w:sz w:val="18"/>
          <w:szCs w:val="18"/>
        </w:rPr>
        <w:t xml:space="preserve"> (Basingstoke: Palgrave Macmillan 2017), 38</w:t>
      </w:r>
    </w:p>
  </w:footnote>
  <w:footnote w:id="46">
    <w:p w14:paraId="316FF542" w14:textId="77777777" w:rsidR="00BF38AF" w:rsidRPr="002C472B" w:rsidRDefault="00BF38AF" w:rsidP="00BF38AF">
      <w:pPr>
        <w:pStyle w:val="FootnoteText"/>
        <w:ind w:left="0" w:hanging="2"/>
        <w:rPr>
          <w:color w:val="FF0000"/>
        </w:rPr>
      </w:pPr>
      <w:r w:rsidRPr="00642AED">
        <w:rPr>
          <w:rStyle w:val="FootnoteReference"/>
          <w:rFonts w:asciiTheme="minorHAnsi" w:hAnsiTheme="minorHAnsi" w:cstheme="minorHAnsi"/>
          <w:sz w:val="18"/>
          <w:szCs w:val="18"/>
        </w:rPr>
        <w:footnoteRef/>
      </w:r>
      <w:r w:rsidRPr="00642AED">
        <w:rPr>
          <w:rFonts w:asciiTheme="minorHAnsi" w:hAnsiTheme="minorHAnsi" w:cstheme="minorHAnsi"/>
          <w:sz w:val="18"/>
          <w:szCs w:val="18"/>
        </w:rPr>
        <w:t xml:space="preserve"> Kneebone S</w:t>
      </w:r>
      <w:r>
        <w:rPr>
          <w:rFonts w:asciiTheme="minorHAnsi" w:hAnsiTheme="minorHAnsi" w:cstheme="minorHAnsi"/>
          <w:sz w:val="18"/>
          <w:szCs w:val="18"/>
        </w:rPr>
        <w:t xml:space="preserve">, </w:t>
      </w:r>
      <w:proofErr w:type="gramStart"/>
      <w:r w:rsidRPr="00642AED">
        <w:rPr>
          <w:rFonts w:asciiTheme="minorHAnsi" w:hAnsiTheme="minorHAnsi" w:cstheme="minorHAnsi"/>
          <w:i/>
          <w:iCs/>
          <w:sz w:val="18"/>
          <w:szCs w:val="18"/>
        </w:rPr>
        <w:t>ASEAN</w:t>
      </w:r>
      <w:proofErr w:type="gramEnd"/>
      <w:r w:rsidRPr="00642AED">
        <w:rPr>
          <w:rFonts w:asciiTheme="minorHAnsi" w:hAnsiTheme="minorHAnsi" w:cstheme="minorHAnsi"/>
          <w:i/>
          <w:iCs/>
          <w:sz w:val="18"/>
          <w:szCs w:val="18"/>
        </w:rPr>
        <w:t xml:space="preserve"> and the conceptualization of refugee protection in Southeast Asian states.</w:t>
      </w:r>
      <w:r w:rsidRPr="00642AED">
        <w:rPr>
          <w:rFonts w:asciiTheme="minorHAnsi" w:hAnsiTheme="minorHAnsi" w:cstheme="minorHAnsi"/>
          <w:sz w:val="18"/>
          <w:szCs w:val="18"/>
        </w:rPr>
        <w:t xml:space="preserve"> </w:t>
      </w:r>
      <w:proofErr w:type="spellStart"/>
      <w:r w:rsidRPr="00642AED">
        <w:rPr>
          <w:rFonts w:asciiTheme="minorHAnsi" w:hAnsiTheme="minorHAnsi" w:cstheme="minorHAnsi"/>
          <w:sz w:val="18"/>
          <w:szCs w:val="18"/>
        </w:rPr>
        <w:t>Abass</w:t>
      </w:r>
      <w:proofErr w:type="spellEnd"/>
      <w:r w:rsidRPr="00642AED">
        <w:rPr>
          <w:rFonts w:asciiTheme="minorHAnsi" w:hAnsiTheme="minorHAnsi" w:cstheme="minorHAnsi"/>
          <w:sz w:val="18"/>
          <w:szCs w:val="18"/>
        </w:rPr>
        <w:t xml:space="preserve"> A, Ippolito F and </w:t>
      </w:r>
      <w:proofErr w:type="spellStart"/>
      <w:r w:rsidRPr="00642AED">
        <w:rPr>
          <w:rFonts w:asciiTheme="minorHAnsi" w:hAnsiTheme="minorHAnsi" w:cstheme="minorHAnsi"/>
          <w:sz w:val="18"/>
          <w:szCs w:val="18"/>
        </w:rPr>
        <w:t>Juss</w:t>
      </w:r>
      <w:proofErr w:type="spellEnd"/>
      <w:r w:rsidRPr="00642AED">
        <w:rPr>
          <w:rFonts w:asciiTheme="minorHAnsi" w:hAnsiTheme="minorHAnsi" w:cstheme="minorHAnsi"/>
          <w:sz w:val="18"/>
          <w:szCs w:val="18"/>
        </w:rPr>
        <w:t xml:space="preserve"> SS (eds) Regional Approaches to the Protection of Asylum Seekers: (An International Legal Perspective. New York 2014), 260.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5" w14:textId="749F4658" w:rsidR="00DA62DD" w:rsidRPr="00784FBB" w:rsidRDefault="00DA22CE" w:rsidP="008F7928">
    <w:pPr>
      <w:pBdr>
        <w:top w:val="nil"/>
        <w:left w:val="nil"/>
        <w:bottom w:val="nil"/>
        <w:right w:val="nil"/>
        <w:between w:val="nil"/>
      </w:pBdr>
      <w:tabs>
        <w:tab w:val="center" w:pos="4680"/>
        <w:tab w:val="right" w:pos="9360"/>
      </w:tabs>
      <w:spacing w:line="240" w:lineRule="auto"/>
      <w:ind w:leftChars="0" w:left="0" w:firstLineChars="0" w:firstLine="0"/>
      <w:jc w:val="right"/>
      <w:rPr>
        <w:rFonts w:ascii="Adobe Caslon Pro" w:eastAsia="Lustria" w:hAnsi="Adobe Caslon Pro" w:cs="Lustria"/>
        <w:color w:val="000000"/>
        <w:sz w:val="18"/>
        <w:szCs w:val="18"/>
      </w:rPr>
    </w:pPr>
    <w:r>
      <w:rPr>
        <w:rFonts w:ascii="Adobe Caslon Pro" w:eastAsia="Lustria" w:hAnsi="Adobe Caslon Pro" w:cs="Lustria"/>
        <w:b/>
        <w:bCs/>
        <w:iCs/>
        <w:color w:val="000000"/>
        <w:sz w:val="18"/>
        <w:szCs w:val="18"/>
      </w:rPr>
      <w:tab/>
    </w:r>
    <w:proofErr w:type="spellStart"/>
    <w:r w:rsidR="00F31090" w:rsidRPr="00F31090">
      <w:rPr>
        <w:rFonts w:ascii="Trajan Pro" w:eastAsia="Lustria" w:hAnsi="Trajan Pro" w:cs="Lustria"/>
        <w:b/>
        <w:bCs/>
        <w:iCs/>
        <w:color w:val="000000"/>
        <w:sz w:val="16"/>
        <w:szCs w:val="16"/>
      </w:rPr>
      <w:t>Lentera</w:t>
    </w:r>
    <w:proofErr w:type="spellEnd"/>
    <w:r w:rsidR="00F31090" w:rsidRPr="00F31090">
      <w:rPr>
        <w:rFonts w:ascii="Trajan Pro" w:eastAsia="Lustria" w:hAnsi="Trajan Pro" w:cs="Lustria"/>
        <w:b/>
        <w:bCs/>
        <w:iCs/>
        <w:color w:val="000000"/>
        <w:sz w:val="16"/>
        <w:szCs w:val="16"/>
      </w:rPr>
      <w:t xml:space="preserve"> Hukum</w:t>
    </w:r>
    <w:r w:rsidR="00784FBB" w:rsidRPr="00F31090">
      <w:rPr>
        <w:rFonts w:ascii="Trajan Pro" w:eastAsia="Lustria" w:hAnsi="Trajan Pro" w:cs="Lustria"/>
        <w:iCs/>
        <w:color w:val="000000"/>
        <w:sz w:val="16"/>
        <w:szCs w:val="16"/>
      </w:rPr>
      <w:t xml:space="preserve">, </w:t>
    </w:r>
    <w:r w:rsidR="00B47C7F" w:rsidRPr="00F31090">
      <w:rPr>
        <w:rFonts w:ascii="Trajan Pro" w:eastAsia="Lustria" w:hAnsi="Trajan Pro" w:cs="Lustria"/>
        <w:iCs/>
        <w:color w:val="000000"/>
        <w:sz w:val="16"/>
        <w:szCs w:val="16"/>
      </w:rPr>
      <w:t>10:1 (2023), pp</w:t>
    </w:r>
    <w:r w:rsidR="006C58D5" w:rsidRPr="00F31090">
      <w:rPr>
        <w:rFonts w:ascii="Trajan Pro" w:eastAsia="Lustria" w:hAnsi="Trajan Pro" w:cs="Lustria"/>
        <w:iCs/>
        <w:color w:val="000000"/>
        <w:sz w:val="16"/>
        <w:szCs w:val="16"/>
      </w:rPr>
      <w:t>.</w:t>
    </w:r>
    <w:r w:rsidR="00B47C7F" w:rsidRPr="00F31090">
      <w:rPr>
        <w:rFonts w:ascii="Trajan Pro" w:eastAsia="Lustria" w:hAnsi="Trajan Pro" w:cs="Lustria"/>
        <w:iCs/>
        <w:color w:val="000000"/>
        <w:sz w:val="16"/>
        <w:szCs w:val="16"/>
      </w:rPr>
      <w:t xml:space="preserve"> 38-72</w:t>
    </w:r>
    <w:r>
      <w:rPr>
        <w:rFonts w:ascii="Adobe Caslon Pro" w:eastAsia="Lustria" w:hAnsi="Adobe Caslon Pro" w:cs="Lustria"/>
        <w:color w:val="000000"/>
        <w:sz w:val="18"/>
        <w:szCs w:val="18"/>
      </w:rPr>
      <w:t xml:space="preserve"> </w:t>
    </w:r>
    <w:r w:rsidR="008F7928">
      <w:rPr>
        <w:rFonts w:ascii="Adobe Caslon Pro" w:eastAsia="Lustria" w:hAnsi="Adobe Caslon Pro" w:cs="Lustria"/>
        <w:color w:val="000000"/>
        <w:sz w:val="18"/>
        <w:szCs w:val="18"/>
      </w:rPr>
      <w:t>|</w:t>
    </w:r>
    <w:r>
      <w:rPr>
        <w:rFonts w:ascii="Adobe Caslon Pro" w:eastAsia="Lustria" w:hAnsi="Adobe Caslon Pro" w:cs="Lustria"/>
        <w:color w:val="000000"/>
        <w:sz w:val="18"/>
        <w:szCs w:val="18"/>
      </w:rPr>
      <w:t xml:space="preserve"> </w:t>
    </w:r>
    <w:r w:rsidR="008F7928" w:rsidRPr="00784FBB">
      <w:rPr>
        <w:rFonts w:ascii="Adobe Caslon Pro" w:eastAsia="Lustria" w:hAnsi="Adobe Caslon Pro" w:cs="Lustria"/>
        <w:b/>
        <w:color w:val="000000"/>
        <w:sz w:val="18"/>
        <w:szCs w:val="18"/>
      </w:rPr>
      <w:fldChar w:fldCharType="begin"/>
    </w:r>
    <w:r w:rsidR="008F7928" w:rsidRPr="00784FBB">
      <w:rPr>
        <w:rFonts w:ascii="Adobe Caslon Pro" w:eastAsia="Lustria" w:hAnsi="Adobe Caslon Pro" w:cs="Lustria"/>
        <w:b/>
        <w:color w:val="000000"/>
        <w:sz w:val="18"/>
        <w:szCs w:val="18"/>
      </w:rPr>
      <w:instrText>PAGE</w:instrText>
    </w:r>
    <w:r w:rsidR="008F7928" w:rsidRPr="00784FBB">
      <w:rPr>
        <w:rFonts w:ascii="Adobe Caslon Pro" w:eastAsia="Lustria" w:hAnsi="Adobe Caslon Pro" w:cs="Lustria"/>
        <w:b/>
        <w:color w:val="000000"/>
        <w:sz w:val="18"/>
        <w:szCs w:val="18"/>
      </w:rPr>
      <w:fldChar w:fldCharType="separate"/>
    </w:r>
    <w:r w:rsidR="008F7928">
      <w:rPr>
        <w:rFonts w:ascii="Adobe Caslon Pro" w:eastAsia="Lustria" w:hAnsi="Adobe Caslon Pro" w:cs="Lustria"/>
        <w:b/>
        <w:color w:val="000000"/>
        <w:sz w:val="18"/>
        <w:szCs w:val="18"/>
      </w:rPr>
      <w:t>2</w:t>
    </w:r>
    <w:r w:rsidR="008F7928" w:rsidRPr="00784FBB">
      <w:rPr>
        <w:rFonts w:ascii="Adobe Caslon Pro" w:eastAsia="Lustria" w:hAnsi="Adobe Caslon Pro" w:cs="Lustria"/>
        <w:b/>
        <w:color w:val="000000"/>
        <w:sz w:val="18"/>
        <w:szCs w:val="18"/>
      </w:rPr>
      <w:fldChar w:fldCharType="end"/>
    </w:r>
  </w:p>
  <w:p w14:paraId="00000046" w14:textId="77777777" w:rsidR="00DA62DD" w:rsidRPr="008141FE" w:rsidRDefault="00DA62DD">
    <w:pPr>
      <w:pBdr>
        <w:top w:val="nil"/>
        <w:left w:val="nil"/>
        <w:bottom w:val="nil"/>
        <w:right w:val="nil"/>
        <w:between w:val="nil"/>
      </w:pBdr>
      <w:tabs>
        <w:tab w:val="center" w:pos="4680"/>
        <w:tab w:val="right" w:pos="9360"/>
      </w:tabs>
      <w:spacing w:line="240" w:lineRule="auto"/>
      <w:ind w:left="0" w:hanging="2"/>
      <w:rPr>
        <w:rFonts w:ascii="Adobe Caslon Pro" w:eastAsia="Lustria" w:hAnsi="Adobe Caslon Pro" w:cs="Lustria"/>
        <w:color w:val="000000"/>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0EA0EC41" w:rsidR="00DA62DD" w:rsidRPr="00784FBB" w:rsidRDefault="008F7928" w:rsidP="008F7928">
    <w:pPr>
      <w:pBdr>
        <w:top w:val="nil"/>
        <w:left w:val="nil"/>
        <w:bottom w:val="nil"/>
        <w:right w:val="nil"/>
        <w:between w:val="nil"/>
      </w:pBdr>
      <w:tabs>
        <w:tab w:val="center" w:pos="4680"/>
        <w:tab w:val="right" w:pos="9360"/>
      </w:tabs>
      <w:spacing w:line="240" w:lineRule="auto"/>
      <w:ind w:left="0" w:hanging="2"/>
      <w:rPr>
        <w:rFonts w:ascii="Adobe Caslon Pro" w:eastAsia="Lustria" w:hAnsi="Adobe Caslon Pro" w:cs="Lustria"/>
        <w:bCs/>
        <w:color w:val="000000"/>
        <w:sz w:val="18"/>
        <w:szCs w:val="18"/>
      </w:rPr>
    </w:pPr>
    <w:r w:rsidRPr="00784FBB">
      <w:rPr>
        <w:rFonts w:ascii="Adobe Caslon Pro" w:eastAsia="Lustria" w:hAnsi="Adobe Caslon Pro" w:cs="Lustria"/>
        <w:bCs/>
        <w:color w:val="000000"/>
        <w:sz w:val="18"/>
        <w:szCs w:val="18"/>
      </w:rPr>
      <w:fldChar w:fldCharType="begin"/>
    </w:r>
    <w:r w:rsidRPr="00784FBB">
      <w:rPr>
        <w:rFonts w:ascii="Adobe Caslon Pro" w:eastAsia="Lustria" w:hAnsi="Adobe Caslon Pro" w:cs="Lustria"/>
        <w:bCs/>
        <w:color w:val="000000"/>
        <w:sz w:val="18"/>
        <w:szCs w:val="18"/>
      </w:rPr>
      <w:instrText>PAGE</w:instrText>
    </w:r>
    <w:r w:rsidRPr="00784FBB">
      <w:rPr>
        <w:rFonts w:ascii="Adobe Caslon Pro" w:eastAsia="Lustria" w:hAnsi="Adobe Caslon Pro" w:cs="Lustria"/>
        <w:bCs/>
        <w:color w:val="000000"/>
        <w:sz w:val="18"/>
        <w:szCs w:val="18"/>
      </w:rPr>
      <w:fldChar w:fldCharType="separate"/>
    </w:r>
    <w:r>
      <w:rPr>
        <w:rFonts w:ascii="Adobe Caslon Pro" w:eastAsia="Lustria" w:hAnsi="Adobe Caslon Pro" w:cs="Lustria"/>
        <w:bCs/>
        <w:color w:val="000000"/>
        <w:sz w:val="18"/>
        <w:szCs w:val="18"/>
      </w:rPr>
      <w:t>3</w:t>
    </w:r>
    <w:r w:rsidRPr="00784FBB">
      <w:rPr>
        <w:rFonts w:ascii="Adobe Caslon Pro" w:eastAsia="Lustria" w:hAnsi="Adobe Caslon Pro" w:cs="Lustria"/>
        <w:bCs/>
        <w:color w:val="000000"/>
        <w:sz w:val="18"/>
        <w:szCs w:val="18"/>
      </w:rPr>
      <w:fldChar w:fldCharType="end"/>
    </w:r>
    <w:r>
      <w:rPr>
        <w:rFonts w:ascii="Adobe Caslon Pro" w:eastAsia="Lustria" w:hAnsi="Adobe Caslon Pro" w:cs="Lustria"/>
        <w:bCs/>
        <w:color w:val="000000"/>
        <w:sz w:val="18"/>
        <w:szCs w:val="18"/>
      </w:rPr>
      <w:t xml:space="preserve"> | </w:t>
    </w:r>
    <w:r w:rsidR="007D32B7" w:rsidRPr="00784FBB">
      <w:rPr>
        <w:rFonts w:ascii="Adobe Caslon Pro" w:eastAsia="Lustria" w:hAnsi="Adobe Caslon Pro" w:cs="Lustria"/>
        <w:color w:val="000000"/>
        <w:sz w:val="18"/>
        <w:szCs w:val="18"/>
      </w:rPr>
      <w:t xml:space="preserve">Submission Draft for </w:t>
    </w:r>
    <w:proofErr w:type="spellStart"/>
    <w:r w:rsidR="007D32B7" w:rsidRPr="00784FBB">
      <w:rPr>
        <w:rFonts w:ascii="Adobe Caslon Pro" w:eastAsia="Lustria" w:hAnsi="Adobe Caslon Pro" w:cs="Lustria"/>
        <w:color w:val="000000"/>
        <w:sz w:val="18"/>
        <w:szCs w:val="18"/>
      </w:rPr>
      <w:t>Lentera</w:t>
    </w:r>
    <w:proofErr w:type="spellEnd"/>
    <w:r w:rsidR="007D32B7" w:rsidRPr="00784FBB">
      <w:rPr>
        <w:rFonts w:ascii="Adobe Caslon Pro" w:eastAsia="Lustria" w:hAnsi="Adobe Caslon Pro" w:cs="Lustria"/>
        <w:color w:val="000000"/>
        <w:sz w:val="18"/>
        <w:szCs w:val="18"/>
      </w:rPr>
      <w:t xml:space="preserve"> Hukum</w:t>
    </w:r>
    <w:r w:rsidR="00F243D4">
      <w:rPr>
        <w:rFonts w:ascii="Adobe Caslon Pro" w:eastAsia="Lustria" w:hAnsi="Adobe Caslon Pro" w:cs="Lustria"/>
        <w:color w:val="000000"/>
        <w:sz w:val="18"/>
        <w:szCs w:val="18"/>
      </w:rPr>
      <w:t xml:space="preserve">                                                                 </w:t>
    </w:r>
  </w:p>
  <w:p w14:paraId="00000050" w14:textId="77777777" w:rsidR="00DA62DD" w:rsidRPr="00A07DFD" w:rsidRDefault="00DA62DD" w:rsidP="00784FBB">
    <w:pPr>
      <w:pBdr>
        <w:top w:val="nil"/>
        <w:left w:val="nil"/>
        <w:bottom w:val="nil"/>
        <w:right w:val="nil"/>
        <w:between w:val="nil"/>
      </w:pBdr>
      <w:tabs>
        <w:tab w:val="center" w:pos="4680"/>
        <w:tab w:val="right" w:pos="9360"/>
      </w:tabs>
      <w:spacing w:line="240" w:lineRule="auto"/>
      <w:ind w:left="0" w:hanging="2"/>
      <w:rPr>
        <w:rFonts w:ascii="Adobe Caslon Pro" w:eastAsia="Lustria" w:hAnsi="Adobe Caslon Pro" w:cs="Lustria"/>
        <w:color w:val="000000"/>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38"/>
      <w:gridCol w:w="3195"/>
    </w:tblGrid>
    <w:tr w:rsidR="00CF0063" w14:paraId="3636C355" w14:textId="77777777" w:rsidTr="00574A8A">
      <w:tc>
        <w:tcPr>
          <w:tcW w:w="6238" w:type="dxa"/>
        </w:tcPr>
        <w:p w14:paraId="28AC8A14" w14:textId="0856A57A" w:rsidR="00151BD9" w:rsidRPr="00F31090" w:rsidRDefault="00151BD9" w:rsidP="00EC30AD">
          <w:pPr>
            <w:pBdr>
              <w:top w:val="nil"/>
              <w:left w:val="nil"/>
              <w:bottom w:val="nil"/>
              <w:right w:val="nil"/>
              <w:between w:val="nil"/>
            </w:pBdr>
            <w:tabs>
              <w:tab w:val="center" w:pos="4680"/>
              <w:tab w:val="right" w:pos="9360"/>
            </w:tabs>
            <w:spacing w:line="240" w:lineRule="auto"/>
            <w:ind w:leftChars="0" w:left="2" w:right="6" w:hanging="2"/>
            <w:jc w:val="both"/>
            <w:rPr>
              <w:rFonts w:ascii="Trajan Pro" w:eastAsia="Lustria" w:hAnsi="Trajan Pro" w:cs="Lustria"/>
              <w:color w:val="000000"/>
              <w:sz w:val="18"/>
              <w:szCs w:val="18"/>
            </w:rPr>
          </w:pPr>
          <w:r w:rsidRPr="00F31090">
            <w:rPr>
              <w:rFonts w:ascii="Trajan Pro" w:eastAsia="Lustria" w:hAnsi="Trajan Pro" w:cs="Lustria"/>
              <w:b/>
              <w:bCs/>
              <w:iCs/>
              <w:color w:val="000000"/>
              <w:sz w:val="18"/>
              <w:szCs w:val="18"/>
            </w:rPr>
            <w:t xml:space="preserve"> </w:t>
          </w:r>
          <w:proofErr w:type="spellStart"/>
          <w:r w:rsidR="00F31090" w:rsidRPr="00F31090">
            <w:rPr>
              <w:rFonts w:ascii="Trajan Pro" w:eastAsia="Lustria" w:hAnsi="Trajan Pro" w:cs="Lustria"/>
              <w:b/>
              <w:bCs/>
              <w:iCs/>
              <w:color w:val="000000"/>
              <w:sz w:val="18"/>
              <w:szCs w:val="18"/>
            </w:rPr>
            <w:t>Lentera</w:t>
          </w:r>
          <w:proofErr w:type="spellEnd"/>
          <w:r w:rsidR="00F31090" w:rsidRPr="00F31090">
            <w:rPr>
              <w:rFonts w:ascii="Trajan Pro" w:eastAsia="Lustria" w:hAnsi="Trajan Pro" w:cs="Lustria"/>
              <w:b/>
              <w:bCs/>
              <w:iCs/>
              <w:color w:val="000000"/>
              <w:sz w:val="18"/>
              <w:szCs w:val="18"/>
            </w:rPr>
            <w:t xml:space="preserve"> Hukum</w:t>
          </w:r>
          <w:r w:rsidR="007D32B7" w:rsidRPr="00F31090">
            <w:rPr>
              <w:rFonts w:ascii="Trajan Pro" w:eastAsia="Lustria" w:hAnsi="Trajan Pro" w:cs="Lustria"/>
              <w:iCs/>
              <w:color w:val="000000"/>
              <w:sz w:val="18"/>
              <w:szCs w:val="18"/>
            </w:rPr>
            <w:t xml:space="preserve">, </w:t>
          </w:r>
          <w:r w:rsidR="00B47C7F" w:rsidRPr="00F31090">
            <w:rPr>
              <w:rFonts w:ascii="Trajan Pro" w:eastAsia="Lustria" w:hAnsi="Trajan Pro" w:cs="Lustria"/>
              <w:iCs/>
              <w:color w:val="000000"/>
              <w:sz w:val="18"/>
              <w:szCs w:val="18"/>
            </w:rPr>
            <w:t>10:1 (2023), pp. 38-72</w:t>
          </w:r>
        </w:p>
        <w:p w14:paraId="0EDC4995" w14:textId="39123F4E" w:rsidR="00151BD9" w:rsidRPr="00EC30AD" w:rsidRDefault="00151BD9" w:rsidP="00904475">
          <w:pPr>
            <w:pBdr>
              <w:top w:val="nil"/>
              <w:left w:val="nil"/>
              <w:bottom w:val="nil"/>
              <w:right w:val="nil"/>
              <w:between w:val="nil"/>
            </w:pBdr>
            <w:tabs>
              <w:tab w:val="center" w:pos="4680"/>
              <w:tab w:val="right" w:pos="9360"/>
            </w:tabs>
            <w:spacing w:line="240" w:lineRule="auto"/>
            <w:ind w:leftChars="0" w:left="2" w:right="6" w:hanging="2"/>
            <w:jc w:val="both"/>
            <w:rPr>
              <w:rFonts w:ascii="Adobe Caslon Pro" w:eastAsia="Lustria" w:hAnsi="Adobe Caslon Pro" w:cs="Lustria"/>
              <w:color w:val="000000"/>
              <w:sz w:val="18"/>
              <w:szCs w:val="18"/>
            </w:rPr>
          </w:pPr>
          <w:r w:rsidRPr="00EC30AD">
            <w:rPr>
              <w:rFonts w:ascii="Adobe Caslon Pro" w:eastAsia="Lustria" w:hAnsi="Adobe Caslon Pro" w:cs="Lustria"/>
              <w:color w:val="000000"/>
              <w:sz w:val="18"/>
              <w:szCs w:val="18"/>
            </w:rPr>
            <w:t xml:space="preserve"> ISSN 2355-4673 (Print) 2621-3710 (Online)</w:t>
          </w:r>
        </w:p>
      </w:tc>
      <w:tc>
        <w:tcPr>
          <w:tcW w:w="3195" w:type="dxa"/>
        </w:tcPr>
        <w:p w14:paraId="723A885F" w14:textId="7DDD658A" w:rsidR="007D32B7" w:rsidRDefault="00151BD9" w:rsidP="00CF0063">
          <w:pPr>
            <w:tabs>
              <w:tab w:val="center" w:pos="4680"/>
              <w:tab w:val="right" w:pos="9360"/>
            </w:tabs>
            <w:spacing w:line="240" w:lineRule="auto"/>
            <w:ind w:leftChars="0" w:left="0" w:right="6" w:firstLineChars="0" w:firstLine="0"/>
            <w:rPr>
              <w:rFonts w:ascii="Adobe Caslon Pro" w:eastAsia="Lustria" w:hAnsi="Adobe Caslon Pro" w:cs="Lustria"/>
              <w:color w:val="000000"/>
              <w:sz w:val="18"/>
              <w:szCs w:val="18"/>
            </w:rPr>
          </w:pPr>
          <w:r w:rsidRPr="00EC30AD">
            <w:rPr>
              <w:rFonts w:ascii="Adobe Caslon Pro" w:eastAsia="Lustria" w:hAnsi="Adobe Caslon Pro" w:cs="Lustria"/>
              <w:color w:val="000000"/>
              <w:sz w:val="18"/>
              <w:szCs w:val="18"/>
            </w:rPr>
            <w:t xml:space="preserve">Available online </w:t>
          </w:r>
          <w:r w:rsidR="00F243D4">
            <w:rPr>
              <w:rFonts w:ascii="Adobe Caslon Pro" w:eastAsia="Lustria" w:hAnsi="Adobe Caslon Pro" w:cs="Lustria"/>
              <w:color w:val="000000"/>
              <w:sz w:val="18"/>
              <w:szCs w:val="18"/>
            </w:rPr>
            <w:t>---</w:t>
          </w:r>
        </w:p>
        <w:p w14:paraId="157B4C9C" w14:textId="0DCA660C" w:rsidR="00151BD9" w:rsidRPr="00EC30AD" w:rsidRDefault="007D32B7" w:rsidP="00CF0063">
          <w:pPr>
            <w:tabs>
              <w:tab w:val="center" w:pos="4680"/>
              <w:tab w:val="right" w:pos="9360"/>
            </w:tabs>
            <w:spacing w:line="240" w:lineRule="auto"/>
            <w:ind w:leftChars="0" w:left="0" w:right="6" w:firstLineChars="0" w:firstLine="0"/>
            <w:rPr>
              <w:rFonts w:ascii="Adobe Caslon Pro" w:eastAsia="Lustria" w:hAnsi="Adobe Caslon Pro" w:cs="Lustria"/>
              <w:color w:val="000000"/>
              <w:sz w:val="18"/>
              <w:szCs w:val="18"/>
            </w:rPr>
          </w:pPr>
          <w:r w:rsidRPr="00EC30AD">
            <w:rPr>
              <w:rFonts w:ascii="Adobe Caslon Pro" w:eastAsia="Lustria" w:hAnsi="Adobe Caslon Pro" w:cs="Lustria"/>
              <w:sz w:val="18"/>
              <w:szCs w:val="18"/>
            </w:rPr>
            <w:t>https://doi.org/10.19184/ejlh.v10i1.</w:t>
          </w:r>
          <w:r w:rsidR="00F243D4">
            <w:rPr>
              <w:rFonts w:ascii="Adobe Caslon Pro" w:eastAsia="Lustria" w:hAnsi="Adobe Caslon Pro" w:cs="Lustria"/>
              <w:sz w:val="18"/>
              <w:szCs w:val="18"/>
            </w:rPr>
            <w:t>...</w:t>
          </w:r>
        </w:p>
      </w:tc>
    </w:tr>
  </w:tbl>
  <w:p w14:paraId="6F99A009" w14:textId="48C1E563" w:rsidR="007B4EC3" w:rsidRPr="00151BD9" w:rsidRDefault="008141FE" w:rsidP="00151BD9">
    <w:pPr>
      <w:pBdr>
        <w:top w:val="nil"/>
        <w:left w:val="nil"/>
        <w:bottom w:val="nil"/>
        <w:right w:val="nil"/>
        <w:between w:val="nil"/>
      </w:pBdr>
      <w:tabs>
        <w:tab w:val="center" w:pos="4680"/>
        <w:tab w:val="right" w:pos="9360"/>
      </w:tabs>
      <w:spacing w:line="240" w:lineRule="auto"/>
      <w:ind w:leftChars="0" w:left="0" w:right="4" w:firstLineChars="0" w:firstLine="0"/>
      <w:jc w:val="both"/>
      <w:rPr>
        <w:rFonts w:ascii="Adobe Caslon Pro" w:eastAsia="Lustria" w:hAnsi="Adobe Caslon Pro" w:cs="Lustria"/>
        <w:color w:val="000000"/>
        <w:sz w:val="18"/>
        <w:szCs w:val="18"/>
      </w:rPr>
    </w:pPr>
    <w:r w:rsidRPr="00AA0F33">
      <w:rPr>
        <w:rFonts w:ascii="Adobe Caslon Pro" w:eastAsia="Lustria" w:hAnsi="Adobe Caslon Pro" w:cs="Lustria"/>
        <w:b/>
        <w:bCs/>
        <w:iCs/>
        <w:noProof/>
        <w:color w:val="000000"/>
        <w:sz w:val="18"/>
        <w:szCs w:val="18"/>
      </w:rPr>
      <mc:AlternateContent>
        <mc:Choice Requires="wps">
          <w:drawing>
            <wp:anchor distT="0" distB="0" distL="114300" distR="114300" simplePos="0" relativeHeight="251659264" behindDoc="0" locked="0" layoutInCell="1" allowOverlap="1" wp14:anchorId="04FABB64" wp14:editId="4099B917">
              <wp:simplePos x="0" y="0"/>
              <wp:positionH relativeFrom="column">
                <wp:posOffset>-1187804</wp:posOffset>
              </wp:positionH>
              <wp:positionV relativeFrom="paragraph">
                <wp:posOffset>-917117</wp:posOffset>
              </wp:positionV>
              <wp:extent cx="8033657" cy="389744"/>
              <wp:effectExtent l="0" t="0" r="5715" b="4445"/>
              <wp:wrapNone/>
              <wp:docPr id="354784620" name="Rectangle 2"/>
              <wp:cNvGraphicFramePr/>
              <a:graphic xmlns:a="http://schemas.openxmlformats.org/drawingml/2006/main">
                <a:graphicData uri="http://schemas.microsoft.com/office/word/2010/wordprocessingShape">
                  <wps:wsp>
                    <wps:cNvSpPr/>
                    <wps:spPr>
                      <a:xfrm>
                        <a:off x="0" y="0"/>
                        <a:ext cx="8033657" cy="389744"/>
                      </a:xfrm>
                      <a:prstGeom prst="rect">
                        <a:avLst/>
                      </a:prstGeom>
                      <a:solidFill>
                        <a:srgbClr val="37649C"/>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rect w14:anchorId="154B5EE4" id="Rectangle 1" o:spid="_x0000_s1026" style="position:absolute;margin-left:-93.55pt;margin-top:-72.2pt;width:632.55pt;height:3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aeBVaAIAAEoFAAAOAAAAZHJzL2Uyb0RvYy54bWysVEtrGzEQvhf6H4TuzfqVODFeB+PgUghJ&#13;&#10;aFJylrWSvaDVqCPZa/fXd6Rdr900ECi9SDOab94zmt7uK8N2Cn0JNuf9ix5nykooSrvO+Y+X5Zdr&#13;&#10;znwQthAGrMr5QXl+O/v8aVq7iRrABkyhkJER6ye1y/kmBDfJMi83qhL+ApyyJNSAlQjE4jorUNRk&#13;&#10;vTLZoNe7ymrAwiFI5T293jVCPkv2tVYyPGrtVWAm5xRbSCemcxXPbDYVkzUKtyllG4b4hygqUVpy&#13;&#10;2pm6E0GwLZZ/mapKieBBhwsJVQZal1KlHCibfu9NNs8b4VTKhYrjXVcm///Myofds3tCKkPt/MQT&#13;&#10;GbPYa6ziTfGxfSrWoSuW2gcm6fG6NxxeXY45kyQbXt+MR6NYzeyk7dCHrwoqFomcIzUj1Ujs7n1o&#13;&#10;oEdIdObBlMWyNCYxuF4tDLKdoMYNx1ejm0Vr/Q+YsRFsIao1FpsXlVrfujlllqhwMCpqGftdaVYW&#13;&#10;lEs/xZWGTnVehZTKhn7rNqGjmiZXneLwY8UWH1WbqDrlwcfKnUbyDDZ0ylVpAd8zYLqQdYOnnpzl&#13;&#10;HckVFIcnZAjNOngnlyW16F748CSQ5p82hXY6PNKhDdQ5h5bibAP46733iKexJClnNe1Tzv3PrUDF&#13;&#10;mflmaWBv+qNRXMDEjC7HA2LwXLI6l9httQDqfJ9+DycTGfHBHEmNUL3S6s+jVxIJK8l3zmXAI7MI&#13;&#10;zZ7T5yHVfJ5gtHROhHv77OSx63EEX/avAl07p4Em/AGOuycmb8a1wcZ+WJhvA+gyzfKprm29aWHT&#13;&#10;NrSfS/wRzvmEOn2Bs98AAAD//wMAUEsDBBQABgAIAAAAIQDqMAsx5AAAABMBAAAPAAAAZHJzL2Rv&#13;&#10;d25yZXYueG1sTE9LT4QwEL6b+B+aMfFidlsUXcJSNipRLybG1YPHLq1ApFNsu4D/3uGkl8k8vvke&#13;&#10;xW62PRuND51DCclaADNYO91hI+H97WGVAQtRoVa9QyPhxwTYlacnhcq1m/DVjPvYMCLBkCsJbYxD&#13;&#10;znmoW2NVWLvBIN0+nbcq0ugbrr2aiNz2/FKIG25Vh6TQqsHct6b+2h+thO8PcfF4PSa2Ey/P1eSr&#13;&#10;pzvsUMrzs7naUrndAotmjn8fsGQg/1CSsYM7og6sl7BKsk1C2KVL0xTYghGbjFIeaJddCeBlwf9n&#13;&#10;KX8BAAD//wMAUEsBAi0AFAAGAAgAAAAhALaDOJL+AAAA4QEAABMAAAAAAAAAAAAAAAAAAAAAAFtD&#13;&#10;b250ZW50X1R5cGVzXS54bWxQSwECLQAUAAYACAAAACEAOP0h/9YAAACUAQAACwAAAAAAAAAAAAAA&#13;&#10;AAAvAQAAX3JlbHMvLnJlbHNQSwECLQAUAAYACAAAACEAtGngVWgCAABKBQAADgAAAAAAAAAAAAAA&#13;&#10;AAAuAgAAZHJzL2Uyb0RvYy54bWxQSwECLQAUAAYACAAAACEA6jALMeQAAAATAQAADwAAAAAAAAAA&#13;&#10;AAAAAADCBAAAZHJzL2Rvd25yZXYueG1sUEsFBgAAAAAEAAQA8wAAANMFAAAAAA==&#13;&#10;" fillcolor="#37649c" stroked="f"/>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920D2"/>
    <w:multiLevelType w:val="hybridMultilevel"/>
    <w:tmpl w:val="2CDEC096"/>
    <w:lvl w:ilvl="0" w:tplc="E93E8A18">
      <w:start w:val="1"/>
      <w:numFmt w:val="decimal"/>
      <w:lvlText w:val="%1."/>
      <w:lvlJc w:val="left"/>
      <w:pPr>
        <w:ind w:left="720" w:hanging="360"/>
      </w:pPr>
      <w:rPr>
        <w:rFonts w:eastAsia="Arial Unicode M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CB5BF7"/>
    <w:multiLevelType w:val="hybridMultilevel"/>
    <w:tmpl w:val="C50026B6"/>
    <w:lvl w:ilvl="0" w:tplc="699E6C4A">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CC28A7"/>
    <w:multiLevelType w:val="multilevel"/>
    <w:tmpl w:val="E752BD2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70D15482"/>
    <w:multiLevelType w:val="multilevel"/>
    <w:tmpl w:val="6532C9AC"/>
    <w:lvl w:ilvl="0">
      <w:start w:val="1"/>
      <w:numFmt w:val="decimal"/>
      <w:lvlText w:val="%1."/>
      <w:lvlJc w:val="left"/>
      <w:pPr>
        <w:ind w:left="720" w:hanging="360"/>
      </w:pPr>
      <w:rPr>
        <w:rFonts w:hint="default"/>
        <w:i w:val="0"/>
        <w:sz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7EFB443D"/>
    <w:multiLevelType w:val="multilevel"/>
    <w:tmpl w:val="29061884"/>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53443003">
    <w:abstractNumId w:val="4"/>
  </w:num>
  <w:num w:numId="2" w16cid:durableId="412777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35856031">
    <w:abstractNumId w:val="2"/>
  </w:num>
  <w:num w:numId="4" w16cid:durableId="1765345436">
    <w:abstractNumId w:val="0"/>
  </w:num>
  <w:num w:numId="5" w16cid:durableId="660080752">
    <w:abstractNumId w:val="3"/>
  </w:num>
  <w:num w:numId="6" w16cid:durableId="782774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62DD"/>
    <w:rsid w:val="00014C1C"/>
    <w:rsid w:val="00023FD4"/>
    <w:rsid w:val="000425D4"/>
    <w:rsid w:val="00042A22"/>
    <w:rsid w:val="00043604"/>
    <w:rsid w:val="000930EE"/>
    <w:rsid w:val="000D5A39"/>
    <w:rsid w:val="000F7436"/>
    <w:rsid w:val="001162CB"/>
    <w:rsid w:val="00117F6F"/>
    <w:rsid w:val="00120943"/>
    <w:rsid w:val="00126C5B"/>
    <w:rsid w:val="001355B7"/>
    <w:rsid w:val="00143665"/>
    <w:rsid w:val="00151BD9"/>
    <w:rsid w:val="00151E30"/>
    <w:rsid w:val="0015585D"/>
    <w:rsid w:val="001D2A25"/>
    <w:rsid w:val="001F144A"/>
    <w:rsid w:val="0021542D"/>
    <w:rsid w:val="00247FE0"/>
    <w:rsid w:val="002851E1"/>
    <w:rsid w:val="002D384B"/>
    <w:rsid w:val="002F2EF6"/>
    <w:rsid w:val="003058A8"/>
    <w:rsid w:val="0032193E"/>
    <w:rsid w:val="003A4E60"/>
    <w:rsid w:val="003A5838"/>
    <w:rsid w:val="003D0D06"/>
    <w:rsid w:val="003D1DF9"/>
    <w:rsid w:val="00422C30"/>
    <w:rsid w:val="004557F3"/>
    <w:rsid w:val="004C4849"/>
    <w:rsid w:val="004D4FB9"/>
    <w:rsid w:val="00564F7E"/>
    <w:rsid w:val="00566A17"/>
    <w:rsid w:val="00574A8A"/>
    <w:rsid w:val="005759AB"/>
    <w:rsid w:val="005941E7"/>
    <w:rsid w:val="005A0CC1"/>
    <w:rsid w:val="005B0FA0"/>
    <w:rsid w:val="005D0F48"/>
    <w:rsid w:val="005D5B39"/>
    <w:rsid w:val="00603C95"/>
    <w:rsid w:val="00605E55"/>
    <w:rsid w:val="00623E1A"/>
    <w:rsid w:val="0064163E"/>
    <w:rsid w:val="006631DA"/>
    <w:rsid w:val="006B736B"/>
    <w:rsid w:val="006C58D5"/>
    <w:rsid w:val="006E4F49"/>
    <w:rsid w:val="00701324"/>
    <w:rsid w:val="00707495"/>
    <w:rsid w:val="00722431"/>
    <w:rsid w:val="00766C6F"/>
    <w:rsid w:val="00777DEF"/>
    <w:rsid w:val="00784FBB"/>
    <w:rsid w:val="007B10D4"/>
    <w:rsid w:val="007B310E"/>
    <w:rsid w:val="007B4EC3"/>
    <w:rsid w:val="007D32B7"/>
    <w:rsid w:val="008141FE"/>
    <w:rsid w:val="00896DED"/>
    <w:rsid w:val="008B16D9"/>
    <w:rsid w:val="008C5FA7"/>
    <w:rsid w:val="008E223A"/>
    <w:rsid w:val="008F7928"/>
    <w:rsid w:val="00904475"/>
    <w:rsid w:val="00952D8A"/>
    <w:rsid w:val="00961445"/>
    <w:rsid w:val="00973CFA"/>
    <w:rsid w:val="009B6FAA"/>
    <w:rsid w:val="009C48FF"/>
    <w:rsid w:val="009D5719"/>
    <w:rsid w:val="00A07DFD"/>
    <w:rsid w:val="00A1264C"/>
    <w:rsid w:val="00A26B12"/>
    <w:rsid w:val="00A54B46"/>
    <w:rsid w:val="00A97C96"/>
    <w:rsid w:val="00AA0F33"/>
    <w:rsid w:val="00AC6753"/>
    <w:rsid w:val="00B13C3A"/>
    <w:rsid w:val="00B47C7F"/>
    <w:rsid w:val="00BA1947"/>
    <w:rsid w:val="00BD064F"/>
    <w:rsid w:val="00BE5E91"/>
    <w:rsid w:val="00BF38AF"/>
    <w:rsid w:val="00CE0A51"/>
    <w:rsid w:val="00CE68D8"/>
    <w:rsid w:val="00CF0063"/>
    <w:rsid w:val="00D315F6"/>
    <w:rsid w:val="00D50E57"/>
    <w:rsid w:val="00D52E18"/>
    <w:rsid w:val="00DA22CE"/>
    <w:rsid w:val="00DA62DD"/>
    <w:rsid w:val="00DD368A"/>
    <w:rsid w:val="00DE68C9"/>
    <w:rsid w:val="00E01682"/>
    <w:rsid w:val="00E412B9"/>
    <w:rsid w:val="00E560C4"/>
    <w:rsid w:val="00E9571E"/>
    <w:rsid w:val="00EC30AD"/>
    <w:rsid w:val="00EE529A"/>
    <w:rsid w:val="00EE6DD1"/>
    <w:rsid w:val="00F23D10"/>
    <w:rsid w:val="00F243D4"/>
    <w:rsid w:val="00F31090"/>
    <w:rsid w:val="00FA64CC"/>
  </w:rsids>
  <m:mathPr>
    <m:mathFont m:val="Cambria Math"/>
    <m:brkBin m:val="before"/>
    <m:brkBinSub m:val="--"/>
    <m:smallFrac m:val="0"/>
    <m:dispDef/>
    <m:lMargin m:val="0"/>
    <m:rMargin m:val="0"/>
    <m:defJc m:val="centerGroup"/>
    <m:wrapIndent m:val="1440"/>
    <m:intLim m:val="subSup"/>
    <m:naryLim m:val="undOvr"/>
  </m:mathPr>
  <w:themeFontLang w:val="en-ID"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98DDA"/>
  <w15:docId w15:val="{D86D74A0-BF66-7740-BCD9-8097B6632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hanging="1"/>
      <w:textDirection w:val="btLr"/>
      <w:textAlignment w:val="top"/>
      <w:outlineLvl w:val="0"/>
    </w:pPr>
    <w:rPr>
      <w:position w:val="-1"/>
    </w:rPr>
  </w:style>
  <w:style w:type="paragraph" w:styleId="Heading1">
    <w:name w:val="heading 1"/>
    <w:basedOn w:val="Normal"/>
    <w:next w:val="Normal"/>
    <w:uiPriority w:val="9"/>
    <w:qFormat/>
    <w:pPr>
      <w:keepNext/>
      <w:numPr>
        <w:numId w:val="1"/>
      </w:numPr>
      <w:spacing w:before="240"/>
      <w:ind w:left="144" w:hanging="144"/>
      <w:jc w:val="center"/>
    </w:pPr>
    <w:rPr>
      <w:rFonts w:ascii="Californian FB" w:eastAsia="Times New Roman" w:hAnsi="Californian FB" w:cs="Times New Roman"/>
      <w:b/>
      <w:bCs/>
      <w:kern w:val="32"/>
      <w:szCs w:val="32"/>
    </w:rPr>
  </w:style>
  <w:style w:type="paragraph" w:styleId="Heading2">
    <w:name w:val="heading 2"/>
    <w:basedOn w:val="Normal"/>
    <w:next w:val="Normal"/>
    <w:uiPriority w:val="9"/>
    <w:semiHidden/>
    <w:unhideWhenUsed/>
    <w:qFormat/>
    <w:pPr>
      <w:keepNext/>
      <w:tabs>
        <w:tab w:val="num" w:pos="720"/>
      </w:tabs>
      <w:spacing w:before="120"/>
      <w:ind w:left="648" w:hanging="288"/>
      <w:jc w:val="center"/>
      <w:outlineLvl w:val="1"/>
    </w:pPr>
    <w:rPr>
      <w:rFonts w:ascii="Californian FB" w:eastAsia="Times New Roman" w:hAnsi="Californian FB" w:cs="Times New Roman"/>
      <w:bCs/>
      <w:i/>
      <w:iCs/>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pPr>
      <w:suppressAutoHyphens w:val="0"/>
      <w:autoSpaceDN w:val="0"/>
      <w:spacing w:before="100" w:after="119"/>
      <w:textAlignment w:val="baseline"/>
    </w:pPr>
    <w:rPr>
      <w:rFonts w:ascii="Times New Roman" w:eastAsia="Times New Roman" w:hAnsi="Times New Roman" w:cs="Times New Roman"/>
      <w:lang w:val="id-ID" w:eastAsia="id-ID"/>
    </w:rPr>
  </w:style>
  <w:style w:type="paragraph" w:styleId="ListParagraph">
    <w:name w:val="List Paragraph"/>
    <w:basedOn w:val="Normal"/>
    <w:pPr>
      <w:ind w:left="720"/>
      <w:contextualSpacing/>
    </w:pPr>
  </w:style>
  <w:style w:type="paragraph" w:styleId="FootnoteText">
    <w:name w:val="footnote text"/>
    <w:basedOn w:val="Normal"/>
    <w:qFormat/>
    <w:rPr>
      <w:sz w:val="20"/>
      <w:szCs w:val="20"/>
    </w:rPr>
  </w:style>
  <w:style w:type="character" w:customStyle="1" w:styleId="FootnoteTextChar">
    <w:name w:val="Footnote Text Char"/>
    <w:rPr>
      <w:w w:val="100"/>
      <w:position w:val="-1"/>
      <w:sz w:val="20"/>
      <w:szCs w:val="20"/>
      <w:effect w:val="none"/>
      <w:vertAlign w:val="baseline"/>
      <w:cs w:val="0"/>
      <w:em w:val="none"/>
    </w:rPr>
  </w:style>
  <w:style w:type="character" w:styleId="FootnoteReference">
    <w:name w:val="footnote reference"/>
    <w:qFormat/>
    <w:rPr>
      <w:w w:val="100"/>
      <w:position w:val="-1"/>
      <w:effect w:val="none"/>
      <w:vertAlign w:val="superscript"/>
      <w:cs w:val="0"/>
      <w:em w:val="none"/>
    </w:rPr>
  </w:style>
  <w:style w:type="paragraph" w:styleId="Bibliography">
    <w:name w:val="Bibliography"/>
    <w:basedOn w:val="Normal"/>
    <w:next w:val="Normal"/>
    <w:qFormat/>
  </w:style>
  <w:style w:type="paragraph" w:styleId="BodyText">
    <w:name w:val="Body Text"/>
    <w:basedOn w:val="Normal"/>
    <w:pPr>
      <w:widowControl w:val="0"/>
      <w:autoSpaceDE w:val="0"/>
      <w:autoSpaceDN w:val="0"/>
    </w:pPr>
    <w:rPr>
      <w:rFonts w:ascii="Times New Roman" w:eastAsia="Times New Roman" w:hAnsi="Times New Roman" w:cs="Times New Roman"/>
      <w:lang w:bidi="en-US"/>
    </w:rPr>
  </w:style>
  <w:style w:type="character" w:customStyle="1" w:styleId="BodyTextChar">
    <w:name w:val="Body Text Char"/>
    <w:rPr>
      <w:rFonts w:ascii="Times New Roman" w:eastAsia="Times New Roman" w:hAnsi="Times New Roman" w:cs="Times New Roman"/>
      <w:w w:val="100"/>
      <w:position w:val="-1"/>
      <w:sz w:val="24"/>
      <w:szCs w:val="24"/>
      <w:effect w:val="none"/>
      <w:vertAlign w:val="baseline"/>
      <w:cs w:val="0"/>
      <w:em w:val="none"/>
      <w:lang w:bidi="en-US"/>
    </w:rPr>
  </w:style>
  <w:style w:type="character" w:styleId="Emphasis">
    <w:name w:val="Emphasis"/>
    <w:rPr>
      <w:i/>
      <w:iCs/>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BalloonText">
    <w:name w:val="Balloon Text"/>
    <w:basedOn w:val="Normal"/>
    <w:qFormat/>
    <w:rPr>
      <w:rFonts w:ascii="Tahoma" w:eastAsia="Times New Roman" w:hAnsi="Tahoma" w:cs="Tahoma"/>
      <w:sz w:val="16"/>
      <w:szCs w:val="16"/>
    </w:rPr>
  </w:style>
  <w:style w:type="character" w:customStyle="1" w:styleId="BalloonTextChar">
    <w:name w:val="Balloon Text Char"/>
    <w:rPr>
      <w:rFonts w:ascii="Tahoma" w:eastAsia="Times New Roman" w:hAnsi="Tahoma" w:cs="Tahoma"/>
      <w:w w:val="100"/>
      <w:position w:val="-1"/>
      <w:sz w:val="16"/>
      <w:szCs w:val="16"/>
      <w:effect w:val="none"/>
      <w:vertAlign w:val="baseline"/>
      <w:cs w:val="0"/>
      <w:em w:val="none"/>
    </w:rPr>
  </w:style>
  <w:style w:type="character" w:customStyle="1" w:styleId="ListParagraphChar">
    <w:name w:val="List Paragraph Char"/>
    <w:rPr>
      <w:w w:val="100"/>
      <w:position w:val="-1"/>
      <w:sz w:val="24"/>
      <w:szCs w:val="24"/>
      <w:effect w:val="none"/>
      <w:vertAlign w:val="baseline"/>
      <w:cs w:val="0"/>
      <w:em w:val="none"/>
    </w:rPr>
  </w:style>
  <w:style w:type="paragraph" w:styleId="HTMLPreformatted">
    <w:name w:val="HTML Preformatted"/>
    <w:basedOn w:val="Normal"/>
    <w:qFormat/>
    <w:rPr>
      <w:rFonts w:ascii="Courier New" w:eastAsia="Times New Roman" w:hAnsi="Courier New" w:cs="Courier New"/>
      <w:sz w:val="20"/>
      <w:szCs w:val="20"/>
    </w:rPr>
  </w:style>
  <w:style w:type="character" w:customStyle="1" w:styleId="HTMLPreformattedChar">
    <w:name w:val="HTML Preformatted Char"/>
    <w:rPr>
      <w:rFonts w:ascii="Courier New" w:eastAsia="Times New Roman" w:hAnsi="Courier New" w:cs="Courier New"/>
      <w:w w:val="100"/>
      <w:position w:val="-1"/>
      <w:sz w:val="20"/>
      <w:szCs w:val="20"/>
      <w:effect w:val="none"/>
      <w:vertAlign w:val="baseline"/>
      <w:cs w:val="0"/>
      <w:em w:val="none"/>
    </w:rPr>
  </w:style>
  <w:style w:type="character" w:styleId="Strong">
    <w:name w:val="Strong"/>
    <w:rPr>
      <w:b/>
      <w:bCs/>
      <w:w w:val="100"/>
      <w:position w:val="-1"/>
      <w:effect w:val="none"/>
      <w:vertAlign w:val="baseline"/>
      <w:cs w:val="0"/>
      <w:em w:val="none"/>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paragraph" w:styleId="DocumentMap">
    <w:name w:val="Document Map"/>
    <w:basedOn w:val="Normal"/>
    <w:qFormat/>
    <w:rPr>
      <w:rFonts w:ascii="Times New Roman" w:eastAsia="Times New Roman" w:hAnsi="Times New Roman" w:cs="Times New Roman"/>
    </w:rPr>
  </w:style>
  <w:style w:type="character" w:customStyle="1" w:styleId="DocumentMapChar">
    <w:name w:val="Document Map Char"/>
    <w:rPr>
      <w:rFonts w:ascii="Times New Roman" w:eastAsia="Times New Roman" w:hAnsi="Times New Roman" w:cs="Times New Roman"/>
      <w:w w:val="100"/>
      <w:position w:val="-1"/>
      <w:sz w:val="24"/>
      <w:szCs w:val="24"/>
      <w:effect w:val="none"/>
      <w:vertAlign w:val="baseline"/>
      <w:cs w:val="0"/>
      <w:em w:val="none"/>
    </w:rPr>
  </w:style>
  <w:style w:type="paragraph" w:styleId="Revision">
    <w:name w:val="Revision"/>
    <w:pPr>
      <w:suppressAutoHyphens/>
      <w:spacing w:line="1" w:lineRule="atLeast"/>
      <w:ind w:leftChars="-1" w:left="-1" w:hangingChars="1" w:hanging="1"/>
      <w:textDirection w:val="btLr"/>
      <w:textAlignment w:val="top"/>
      <w:outlineLvl w:val="0"/>
    </w:pPr>
    <w:rPr>
      <w:position w:val="-1"/>
    </w:rPr>
  </w:style>
  <w:style w:type="character" w:customStyle="1" w:styleId="Heading1Char">
    <w:name w:val="Heading 1 Char"/>
    <w:rPr>
      <w:rFonts w:ascii="Californian FB" w:eastAsia="Times New Roman" w:hAnsi="Californian FB"/>
      <w:b/>
      <w:bCs/>
      <w:w w:val="100"/>
      <w:kern w:val="32"/>
      <w:position w:val="-1"/>
      <w:sz w:val="24"/>
      <w:szCs w:val="32"/>
      <w:effect w:val="none"/>
      <w:vertAlign w:val="baseline"/>
      <w:cs w:val="0"/>
      <w:em w:val="none"/>
    </w:rPr>
  </w:style>
  <w:style w:type="character" w:customStyle="1" w:styleId="Heading2Char">
    <w:name w:val="Heading 2 Char"/>
    <w:rPr>
      <w:rFonts w:ascii="Californian FB" w:eastAsia="Times New Roman" w:hAnsi="Californian FB" w:cs="Times New Roman"/>
      <w:bCs/>
      <w:i/>
      <w:iCs/>
      <w:w w:val="100"/>
      <w:position w:val="-1"/>
      <w:sz w:val="24"/>
      <w:szCs w:val="28"/>
      <w:effect w:val="none"/>
      <w:vertAlign w:val="baseline"/>
      <w:cs w:val="0"/>
      <w:em w:val="none"/>
    </w:rPr>
  </w:style>
  <w:style w:type="paragraph" w:styleId="Header">
    <w:name w:val="header"/>
    <w:basedOn w:val="Normal"/>
    <w:uiPriority w:val="99"/>
    <w:qFormat/>
    <w:pPr>
      <w:tabs>
        <w:tab w:val="center" w:pos="4680"/>
        <w:tab w:val="right" w:pos="9360"/>
      </w:tabs>
    </w:pPr>
  </w:style>
  <w:style w:type="character" w:customStyle="1" w:styleId="HeaderChar">
    <w:name w:val="Header Char"/>
    <w:uiPriority w:val="99"/>
    <w:rPr>
      <w:w w:val="100"/>
      <w:position w:val="-1"/>
      <w:sz w:val="24"/>
      <w:szCs w:val="24"/>
      <w:effect w:val="none"/>
      <w:vertAlign w:val="baseline"/>
      <w:cs w:val="0"/>
      <w:em w:val="none"/>
    </w:rPr>
  </w:style>
  <w:style w:type="paragraph" w:styleId="Footer">
    <w:name w:val="footer"/>
    <w:basedOn w:val="Normal"/>
    <w:qFormat/>
    <w:pPr>
      <w:tabs>
        <w:tab w:val="center" w:pos="4680"/>
        <w:tab w:val="right" w:pos="9360"/>
      </w:tabs>
    </w:pPr>
  </w:style>
  <w:style w:type="character" w:customStyle="1" w:styleId="FooterChar">
    <w:name w:val="Footer Char"/>
    <w:rPr>
      <w:w w:val="100"/>
      <w:position w:val="-1"/>
      <w:sz w:val="24"/>
      <w:szCs w:val="24"/>
      <w:effect w:val="none"/>
      <w:vertAlign w:val="baseline"/>
      <w:cs w:val="0"/>
      <w:em w:val="none"/>
    </w:rPr>
  </w:style>
  <w:style w:type="character" w:styleId="UnresolvedMention">
    <w:name w:val="Unresolved Mention"/>
    <w:qFormat/>
    <w:rPr>
      <w:color w:val="605E5C"/>
      <w:w w:val="100"/>
      <w:position w:val="-1"/>
      <w:effect w:val="none"/>
      <w:shd w:val="clear" w:color="auto" w:fill="E1DFDD"/>
      <w:vertAlign w:val="baseline"/>
      <w:cs w:val="0"/>
      <w:em w:val="none"/>
    </w:rPr>
  </w:style>
  <w:style w:type="character" w:customStyle="1" w:styleId="md-horizontal-social-toolbar2-contributor">
    <w:name w:val="md-horizontal-social-toolbar2-contributor"/>
    <w:rPr>
      <w:w w:val="100"/>
      <w:position w:val="-1"/>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styleId="TableGrid">
    <w:name w:val="Table Grid"/>
    <w:basedOn w:val="TableNormal"/>
    <w:uiPriority w:val="39"/>
    <w:rsid w:val="006631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6631DA"/>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6631DA"/>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5">
    <w:name w:val="Plain Table 5"/>
    <w:basedOn w:val="TableNormal"/>
    <w:uiPriority w:val="45"/>
    <w:rsid w:val="006631DA"/>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6631D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7Colorful">
    <w:name w:val="Grid Table 7 Colorful"/>
    <w:basedOn w:val="TableNormal"/>
    <w:uiPriority w:val="52"/>
    <w:rsid w:val="006631D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ListTable1Light">
    <w:name w:val="List Table 1 Light"/>
    <w:basedOn w:val="TableNormal"/>
    <w:uiPriority w:val="46"/>
    <w:rsid w:val="006631DA"/>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6">
    <w:name w:val="List Table 6 Colorful Accent 6"/>
    <w:basedOn w:val="TableNormal"/>
    <w:uiPriority w:val="51"/>
    <w:rsid w:val="006631DA"/>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ListTable5Dark-Accent6">
    <w:name w:val="List Table 5 Dark Accent 6"/>
    <w:basedOn w:val="TableNormal"/>
    <w:uiPriority w:val="50"/>
    <w:rsid w:val="006631DA"/>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6Colorful">
    <w:name w:val="Grid Table 6 Colorful"/>
    <w:basedOn w:val="TableNormal"/>
    <w:uiPriority w:val="51"/>
    <w:rsid w:val="006631D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8141FE"/>
    <w:rPr>
      <w:rFonts w:asciiTheme="minorHAnsi" w:eastAsiaTheme="minorEastAsia" w:hAnsiTheme="minorHAnsi" w:cstheme="minorBidi"/>
      <w:sz w:val="22"/>
      <w:szCs w:val="22"/>
      <w:lang w:eastAsia="zh-CN"/>
    </w:rPr>
  </w:style>
  <w:style w:type="character" w:styleId="FollowedHyperlink">
    <w:name w:val="FollowedHyperlink"/>
    <w:basedOn w:val="DefaultParagraphFont"/>
    <w:uiPriority w:val="99"/>
    <w:semiHidden/>
    <w:unhideWhenUsed/>
    <w:rsid w:val="000930E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659708">
      <w:bodyDiv w:val="1"/>
      <w:marLeft w:val="0"/>
      <w:marRight w:val="0"/>
      <w:marTop w:val="0"/>
      <w:marBottom w:val="0"/>
      <w:divBdr>
        <w:top w:val="none" w:sz="0" w:space="0" w:color="auto"/>
        <w:left w:val="none" w:sz="0" w:space="0" w:color="auto"/>
        <w:bottom w:val="none" w:sz="0" w:space="0" w:color="auto"/>
        <w:right w:val="none" w:sz="0" w:space="0" w:color="auto"/>
      </w:divBdr>
      <w:divsChild>
        <w:div w:id="93208107">
          <w:marLeft w:val="0"/>
          <w:marRight w:val="0"/>
          <w:marTop w:val="15"/>
          <w:marBottom w:val="0"/>
          <w:divBdr>
            <w:top w:val="single" w:sz="48" w:space="0" w:color="auto"/>
            <w:left w:val="single" w:sz="48" w:space="0" w:color="auto"/>
            <w:bottom w:val="single" w:sz="48" w:space="0" w:color="auto"/>
            <w:right w:val="single" w:sz="48" w:space="0" w:color="auto"/>
          </w:divBdr>
          <w:divsChild>
            <w:div w:id="1061753193">
              <w:marLeft w:val="0"/>
              <w:marRight w:val="0"/>
              <w:marTop w:val="0"/>
              <w:marBottom w:val="0"/>
              <w:divBdr>
                <w:top w:val="none" w:sz="0" w:space="0" w:color="auto"/>
                <w:left w:val="none" w:sz="0" w:space="0" w:color="auto"/>
                <w:bottom w:val="none" w:sz="0" w:space="0" w:color="auto"/>
                <w:right w:val="none" w:sz="0" w:space="0" w:color="auto"/>
              </w:divBdr>
              <w:divsChild>
                <w:div w:id="497312824">
                  <w:marLeft w:val="0"/>
                  <w:marRight w:val="0"/>
                  <w:marTop w:val="0"/>
                  <w:marBottom w:val="0"/>
                  <w:divBdr>
                    <w:top w:val="none" w:sz="0" w:space="0" w:color="auto"/>
                    <w:left w:val="none" w:sz="0" w:space="0" w:color="auto"/>
                    <w:bottom w:val="none" w:sz="0" w:space="0" w:color="auto"/>
                    <w:right w:val="none" w:sz="0" w:space="0" w:color="auto"/>
                  </w:divBdr>
                </w:div>
                <w:div w:id="1481535412">
                  <w:marLeft w:val="0"/>
                  <w:marRight w:val="0"/>
                  <w:marTop w:val="0"/>
                  <w:marBottom w:val="0"/>
                  <w:divBdr>
                    <w:top w:val="none" w:sz="0" w:space="0" w:color="auto"/>
                    <w:left w:val="none" w:sz="0" w:space="0" w:color="auto"/>
                    <w:bottom w:val="none" w:sz="0" w:space="0" w:color="auto"/>
                    <w:right w:val="none" w:sz="0" w:space="0" w:color="auto"/>
                  </w:divBdr>
                </w:div>
                <w:div w:id="17782255">
                  <w:marLeft w:val="0"/>
                  <w:marRight w:val="0"/>
                  <w:marTop w:val="0"/>
                  <w:marBottom w:val="0"/>
                  <w:divBdr>
                    <w:top w:val="none" w:sz="0" w:space="0" w:color="auto"/>
                    <w:left w:val="none" w:sz="0" w:space="0" w:color="auto"/>
                    <w:bottom w:val="none" w:sz="0" w:space="0" w:color="auto"/>
                    <w:right w:val="none" w:sz="0" w:space="0" w:color="auto"/>
                  </w:divBdr>
                </w:div>
                <w:div w:id="1638099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934912">
          <w:marLeft w:val="0"/>
          <w:marRight w:val="0"/>
          <w:marTop w:val="15"/>
          <w:marBottom w:val="0"/>
          <w:divBdr>
            <w:top w:val="single" w:sz="48" w:space="0" w:color="auto"/>
            <w:left w:val="single" w:sz="48" w:space="0" w:color="auto"/>
            <w:bottom w:val="single" w:sz="48" w:space="0" w:color="auto"/>
            <w:right w:val="single" w:sz="48" w:space="0" w:color="auto"/>
          </w:divBdr>
          <w:divsChild>
            <w:div w:id="213420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2467">
      <w:bodyDiv w:val="1"/>
      <w:marLeft w:val="0"/>
      <w:marRight w:val="0"/>
      <w:marTop w:val="0"/>
      <w:marBottom w:val="0"/>
      <w:divBdr>
        <w:top w:val="none" w:sz="0" w:space="0" w:color="auto"/>
        <w:left w:val="none" w:sz="0" w:space="0" w:color="auto"/>
        <w:bottom w:val="none" w:sz="0" w:space="0" w:color="auto"/>
        <w:right w:val="none" w:sz="0" w:space="0" w:color="auto"/>
      </w:divBdr>
      <w:divsChild>
        <w:div w:id="1555387975">
          <w:marLeft w:val="0"/>
          <w:marRight w:val="0"/>
          <w:marTop w:val="0"/>
          <w:marBottom w:val="0"/>
          <w:divBdr>
            <w:top w:val="none" w:sz="0" w:space="0" w:color="auto"/>
            <w:left w:val="none" w:sz="0" w:space="0" w:color="auto"/>
            <w:bottom w:val="none" w:sz="0" w:space="0" w:color="auto"/>
            <w:right w:val="none" w:sz="0" w:space="0" w:color="auto"/>
          </w:divBdr>
          <w:divsChild>
            <w:div w:id="546721169">
              <w:marLeft w:val="0"/>
              <w:marRight w:val="0"/>
              <w:marTop w:val="0"/>
              <w:marBottom w:val="0"/>
              <w:divBdr>
                <w:top w:val="none" w:sz="0" w:space="0" w:color="auto"/>
                <w:left w:val="none" w:sz="0" w:space="0" w:color="auto"/>
                <w:bottom w:val="none" w:sz="0" w:space="0" w:color="auto"/>
                <w:right w:val="none" w:sz="0" w:space="0" w:color="auto"/>
              </w:divBdr>
              <w:divsChild>
                <w:div w:id="122291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441269">
      <w:bodyDiv w:val="1"/>
      <w:marLeft w:val="0"/>
      <w:marRight w:val="0"/>
      <w:marTop w:val="0"/>
      <w:marBottom w:val="0"/>
      <w:divBdr>
        <w:top w:val="none" w:sz="0" w:space="0" w:color="auto"/>
        <w:left w:val="none" w:sz="0" w:space="0" w:color="auto"/>
        <w:bottom w:val="none" w:sz="0" w:space="0" w:color="auto"/>
        <w:right w:val="none" w:sz="0" w:space="0" w:color="auto"/>
      </w:divBdr>
      <w:divsChild>
        <w:div w:id="1919443437">
          <w:marLeft w:val="0"/>
          <w:marRight w:val="0"/>
          <w:marTop w:val="15"/>
          <w:marBottom w:val="0"/>
          <w:divBdr>
            <w:top w:val="single" w:sz="48" w:space="0" w:color="auto"/>
            <w:left w:val="single" w:sz="48" w:space="0" w:color="auto"/>
            <w:bottom w:val="single" w:sz="48" w:space="0" w:color="auto"/>
            <w:right w:val="single" w:sz="48" w:space="0" w:color="auto"/>
          </w:divBdr>
          <w:divsChild>
            <w:div w:id="1549757781">
              <w:marLeft w:val="0"/>
              <w:marRight w:val="0"/>
              <w:marTop w:val="0"/>
              <w:marBottom w:val="0"/>
              <w:divBdr>
                <w:top w:val="none" w:sz="0" w:space="0" w:color="auto"/>
                <w:left w:val="none" w:sz="0" w:space="0" w:color="auto"/>
                <w:bottom w:val="none" w:sz="0" w:space="0" w:color="auto"/>
                <w:right w:val="none" w:sz="0" w:space="0" w:color="auto"/>
              </w:divBdr>
              <w:divsChild>
                <w:div w:id="1922643400">
                  <w:marLeft w:val="0"/>
                  <w:marRight w:val="0"/>
                  <w:marTop w:val="0"/>
                  <w:marBottom w:val="0"/>
                  <w:divBdr>
                    <w:top w:val="none" w:sz="0" w:space="0" w:color="auto"/>
                    <w:left w:val="none" w:sz="0" w:space="0" w:color="auto"/>
                    <w:bottom w:val="none" w:sz="0" w:space="0" w:color="auto"/>
                    <w:right w:val="none" w:sz="0" w:space="0" w:color="auto"/>
                  </w:divBdr>
                </w:div>
                <w:div w:id="1424641180">
                  <w:marLeft w:val="0"/>
                  <w:marRight w:val="0"/>
                  <w:marTop w:val="0"/>
                  <w:marBottom w:val="0"/>
                  <w:divBdr>
                    <w:top w:val="none" w:sz="0" w:space="0" w:color="auto"/>
                    <w:left w:val="none" w:sz="0" w:space="0" w:color="auto"/>
                    <w:bottom w:val="none" w:sz="0" w:space="0" w:color="auto"/>
                    <w:right w:val="none" w:sz="0" w:space="0" w:color="auto"/>
                  </w:divBdr>
                </w:div>
                <w:div w:id="623582626">
                  <w:marLeft w:val="0"/>
                  <w:marRight w:val="0"/>
                  <w:marTop w:val="0"/>
                  <w:marBottom w:val="0"/>
                  <w:divBdr>
                    <w:top w:val="none" w:sz="0" w:space="0" w:color="auto"/>
                    <w:left w:val="none" w:sz="0" w:space="0" w:color="auto"/>
                    <w:bottom w:val="none" w:sz="0" w:space="0" w:color="auto"/>
                    <w:right w:val="none" w:sz="0" w:space="0" w:color="auto"/>
                  </w:divBdr>
                </w:div>
                <w:div w:id="1503277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942493">
          <w:marLeft w:val="0"/>
          <w:marRight w:val="0"/>
          <w:marTop w:val="15"/>
          <w:marBottom w:val="0"/>
          <w:divBdr>
            <w:top w:val="single" w:sz="48" w:space="0" w:color="auto"/>
            <w:left w:val="single" w:sz="48" w:space="0" w:color="auto"/>
            <w:bottom w:val="single" w:sz="48" w:space="0" w:color="auto"/>
            <w:right w:val="single" w:sz="48" w:space="0" w:color="auto"/>
          </w:divBdr>
          <w:divsChild>
            <w:div w:id="1860198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odiksetiawan@uii.ac.id"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creativecommons.org/licenses/by-sa/4.0/0"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fra.europa.eu/sites/default/files/fra_uploads/fra-november-2016-monthly-migration-highlight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71CA3EA-2518-CA49-8472-39CE2F88CDA2}">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zPa2Ru2mR0PZ52kPMtmrYMcKMA==">AMUW2mW18JLC2JDuxeVzqc2JrFnkw409NPJSohV2p91t3BdVbsCEmKdbnPvoO6IDyc6FBVa1MKxfnHEN9s2FR6A6VMTlxl02U3eSazLKKeSYXANr+bpG7jA=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23</Pages>
  <Words>6849</Words>
  <Characters>39044</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Dodik Heriyanto</cp:lastModifiedBy>
  <cp:revision>4</cp:revision>
  <cp:lastPrinted>2023-01-14T14:13:00Z</cp:lastPrinted>
  <dcterms:created xsi:type="dcterms:W3CDTF">2023-02-01T04:22:00Z</dcterms:created>
  <dcterms:modified xsi:type="dcterms:W3CDTF">2023-02-01T06:06:00Z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documentId_1845</vt:lpwstr>
  </property>
  <property fmtid="{D5CDD505-2E9C-101B-9397-08002B2CF9AE}" pid="3" name="grammarly_documentContext">
    <vt:lpwstr>{"goals":[],"domain":"general","emotions":[],"dialect":"australian"}</vt:lpwstr>
  </property>
</Properties>
</file>