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159"/>
        <w:gridCol w:w="4129"/>
      </w:tblGrid>
      <w:tr w:rsidR="00E41334" w:rsidRPr="00F9310F" w:rsidTr="001709B8">
        <w:trPr>
          <w:trHeight w:val="983"/>
        </w:trPr>
        <w:tc>
          <w:tcPr>
            <w:tcW w:w="5159" w:type="dxa"/>
            <w:shd w:val="clear" w:color="auto" w:fill="auto"/>
          </w:tcPr>
          <w:p w:rsidR="00E41334" w:rsidRPr="00556EBE" w:rsidRDefault="00E41334" w:rsidP="001709B8">
            <w:pPr>
              <w:pStyle w:val="Cm1"/>
              <w:spacing w:before="0"/>
              <w:ind w:right="0"/>
              <w:rPr>
                <w:b w:val="0"/>
                <w:i/>
                <w:sz w:val="22"/>
                <w:szCs w:val="22"/>
              </w:rPr>
            </w:pPr>
            <w:r>
              <w:rPr>
                <w:rStyle w:val="Hiperhivatkozs"/>
                <w:rFonts w:eastAsia="SimSun"/>
              </w:rPr>
              <w:br w:type="page"/>
            </w:r>
            <w:r>
              <w:rPr>
                <w:sz w:val="28"/>
                <w:szCs w:val="28"/>
              </w:rPr>
              <w:br w:type="page"/>
            </w:r>
            <w:r w:rsidRPr="00556EBE">
              <w:rPr>
                <w:b w:val="0"/>
                <w:i/>
                <w:sz w:val="22"/>
                <w:szCs w:val="22"/>
              </w:rPr>
              <w:t>Thematic Article</w:t>
            </w:r>
          </w:p>
        </w:tc>
        <w:tc>
          <w:tcPr>
            <w:tcW w:w="4129" w:type="dxa"/>
            <w:vMerge w:val="restart"/>
            <w:shd w:val="clear" w:color="auto" w:fill="auto"/>
          </w:tcPr>
          <w:p w:rsidR="00E41334" w:rsidRPr="00CE06EE" w:rsidRDefault="00E41334" w:rsidP="001709B8">
            <w:pPr>
              <w:pStyle w:val="Affiliation"/>
              <w:jc w:val="right"/>
            </w:pPr>
            <w:r w:rsidRPr="00F9310F">
              <w:rPr>
                <w:noProof/>
                <w:lang w:val="hu-HU" w:eastAsia="hu-HU"/>
              </w:rPr>
              <w:drawing>
                <wp:inline distT="0" distB="0" distL="0" distR="0">
                  <wp:extent cx="1228090" cy="862330"/>
                  <wp:effectExtent l="0" t="0" r="0" b="0"/>
                  <wp:docPr id="2" name="Kép 2"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 descr="HERJ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8090" cy="862330"/>
                          </a:xfrm>
                          <a:prstGeom prst="rect">
                            <a:avLst/>
                          </a:prstGeom>
                          <a:noFill/>
                          <a:ln>
                            <a:noFill/>
                          </a:ln>
                        </pic:spPr>
                      </pic:pic>
                    </a:graphicData>
                  </a:graphic>
                </wp:inline>
              </w:drawing>
            </w:r>
            <w:r w:rsidRPr="00CE06EE">
              <w:t xml:space="preserve"> </w:t>
            </w:r>
          </w:p>
          <w:p w:rsidR="00E41334" w:rsidRPr="00CE06EE" w:rsidRDefault="00E41334" w:rsidP="001709B8">
            <w:pPr>
              <w:pStyle w:val="Affiliation"/>
              <w:jc w:val="right"/>
            </w:pPr>
            <w:r w:rsidRPr="00CE06EE">
              <w:t>Hungarian Educational Research Journal</w:t>
            </w:r>
          </w:p>
          <w:p w:rsidR="00E41334" w:rsidRPr="00CE06EE" w:rsidRDefault="00E41334" w:rsidP="001709B8">
            <w:pPr>
              <w:pStyle w:val="Affiliation"/>
              <w:jc w:val="right"/>
            </w:pPr>
            <w:r w:rsidRPr="00CE06EE">
              <w:t xml:space="preserve">2017, Vol. 7(2) </w:t>
            </w:r>
            <w:r>
              <w:t>15‒31</w:t>
            </w:r>
          </w:p>
          <w:p w:rsidR="00E41334" w:rsidRPr="00CE06EE" w:rsidRDefault="00E41334" w:rsidP="001709B8">
            <w:pPr>
              <w:pStyle w:val="Affiliation"/>
              <w:jc w:val="right"/>
            </w:pPr>
            <w:r w:rsidRPr="00CE06EE">
              <w:t>© The Author(s) 2017</w:t>
            </w:r>
          </w:p>
          <w:p w:rsidR="00E41334" w:rsidRPr="00CE06EE" w:rsidRDefault="00E41334" w:rsidP="001709B8">
            <w:pPr>
              <w:pStyle w:val="Affiliation"/>
              <w:jc w:val="right"/>
            </w:pPr>
            <w:r w:rsidRPr="00CE06EE">
              <w:t>http://herj.lib.unideb.hu</w:t>
            </w:r>
          </w:p>
          <w:p w:rsidR="00E41334" w:rsidRPr="005A1DE5" w:rsidRDefault="00E41334" w:rsidP="001709B8">
            <w:pPr>
              <w:pStyle w:val="Affiliation"/>
              <w:jc w:val="right"/>
              <w:rPr>
                <w:shd w:val="clear" w:color="auto" w:fill="FFFFFF"/>
              </w:rPr>
            </w:pPr>
            <w:r w:rsidRPr="005A1DE5">
              <w:rPr>
                <w:shd w:val="clear" w:color="auto" w:fill="FFFFFF"/>
              </w:rPr>
              <w:t>Debrecen University Press</w:t>
            </w:r>
          </w:p>
          <w:p w:rsidR="00E41334" w:rsidRPr="005A1DE5" w:rsidRDefault="00E41334" w:rsidP="001709B8">
            <w:pPr>
              <w:pStyle w:val="Affiliation"/>
              <w:jc w:val="right"/>
            </w:pPr>
            <w:r w:rsidRPr="00F9310F">
              <w:rPr>
                <w:noProof/>
                <w:lang w:val="hu-HU" w:eastAsia="hu-HU"/>
              </w:rPr>
              <w:drawing>
                <wp:inline distT="0" distB="0" distL="0" distR="0">
                  <wp:extent cx="522605" cy="470535"/>
                  <wp:effectExtent l="0" t="0" r="0" b="5715"/>
                  <wp:docPr id="1" name="Kép 1"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605" cy="470535"/>
                          </a:xfrm>
                          <a:prstGeom prst="rect">
                            <a:avLst/>
                          </a:prstGeom>
                          <a:noFill/>
                          <a:ln>
                            <a:noFill/>
                          </a:ln>
                        </pic:spPr>
                      </pic:pic>
                    </a:graphicData>
                  </a:graphic>
                </wp:inline>
              </w:drawing>
            </w:r>
          </w:p>
          <w:p w:rsidR="00E41334" w:rsidRPr="00CE06EE" w:rsidRDefault="00E41334" w:rsidP="001709B8">
            <w:pPr>
              <w:pStyle w:val="Affiliation"/>
              <w:jc w:val="right"/>
              <w:rPr>
                <w:rFonts w:cs="Calibri"/>
              </w:rPr>
            </w:pPr>
            <w:r>
              <w:rPr>
                <w:rFonts w:cs="Calibri"/>
              </w:rPr>
              <w:t>DOI:</w:t>
            </w:r>
            <w:r w:rsidRPr="00FF7659">
              <w:rPr>
                <w:rFonts w:cs="Calibri"/>
              </w:rPr>
              <w:t>10.14413/</w:t>
            </w:r>
            <w:r>
              <w:rPr>
                <w:rFonts w:cs="Calibri"/>
              </w:rPr>
              <w:t>HERJ/7/2/2</w:t>
            </w:r>
          </w:p>
        </w:tc>
      </w:tr>
      <w:tr w:rsidR="00E41334" w:rsidRPr="00F9310F" w:rsidTr="001709B8">
        <w:tc>
          <w:tcPr>
            <w:tcW w:w="5159" w:type="dxa"/>
            <w:shd w:val="clear" w:color="auto" w:fill="auto"/>
          </w:tcPr>
          <w:p w:rsidR="00E41334" w:rsidRPr="00556EBE" w:rsidRDefault="00E41334" w:rsidP="001709B8">
            <w:pPr>
              <w:pStyle w:val="TitleHERJ"/>
              <w:ind w:right="0"/>
            </w:pPr>
            <w:r w:rsidRPr="00556EBE">
              <w:t>Mastery Motivation in Infancy and Early Childhood: The Consistency and Variation of Its Stability and Predictability of General Competence</w:t>
            </w:r>
          </w:p>
        </w:tc>
        <w:tc>
          <w:tcPr>
            <w:tcW w:w="4129" w:type="dxa"/>
            <w:vMerge/>
            <w:shd w:val="clear" w:color="auto" w:fill="auto"/>
          </w:tcPr>
          <w:p w:rsidR="00E41334" w:rsidRPr="00CE06EE" w:rsidRDefault="00E41334" w:rsidP="001709B8">
            <w:pPr>
              <w:pStyle w:val="Affiliation"/>
              <w:jc w:val="right"/>
            </w:pPr>
          </w:p>
        </w:tc>
      </w:tr>
      <w:tr w:rsidR="00E41334" w:rsidRPr="00F9310F" w:rsidTr="001709B8">
        <w:trPr>
          <w:trHeight w:val="578"/>
        </w:trPr>
        <w:tc>
          <w:tcPr>
            <w:tcW w:w="5159" w:type="dxa"/>
            <w:shd w:val="clear" w:color="auto" w:fill="auto"/>
          </w:tcPr>
          <w:p w:rsidR="00E41334" w:rsidRPr="0008161F" w:rsidRDefault="00E41334" w:rsidP="001709B8">
            <w:pPr>
              <w:pStyle w:val="Author"/>
            </w:pPr>
            <w:r w:rsidRPr="0008161F">
              <w:t>Su-Ying Huang</w:t>
            </w:r>
            <w:r w:rsidRPr="0008161F">
              <w:rPr>
                <w:rStyle w:val="Lbjegyzet-hivatkozs"/>
              </w:rPr>
              <w:footnoteReference w:id="1"/>
            </w:r>
            <w:r w:rsidRPr="0008161F">
              <w:rPr>
                <w:rStyle w:val="Lbjegyzet-hivatkozs"/>
              </w:rPr>
              <w:t xml:space="preserve"> </w:t>
            </w:r>
            <w:r w:rsidRPr="0008161F">
              <w:t>&amp; Keng-Ling Lay</w:t>
            </w:r>
            <w:r w:rsidRPr="0008161F">
              <w:rPr>
                <w:rStyle w:val="Lbjegyzet-hivatkozs"/>
              </w:rPr>
              <w:footnoteReference w:id="2"/>
            </w:r>
          </w:p>
        </w:tc>
        <w:tc>
          <w:tcPr>
            <w:tcW w:w="4129" w:type="dxa"/>
            <w:vMerge/>
            <w:shd w:val="clear" w:color="auto" w:fill="auto"/>
          </w:tcPr>
          <w:p w:rsidR="00E41334" w:rsidRPr="00556EBE" w:rsidRDefault="00E41334" w:rsidP="001709B8">
            <w:pPr>
              <w:pStyle w:val="Affiliation"/>
              <w:jc w:val="right"/>
              <w:rPr>
                <w:szCs w:val="22"/>
              </w:rPr>
            </w:pPr>
          </w:p>
        </w:tc>
      </w:tr>
    </w:tbl>
    <w:p w:rsidR="00E41334" w:rsidRPr="00556EBE" w:rsidRDefault="00E41334" w:rsidP="00E41334">
      <w:pPr>
        <w:pStyle w:val="Absztraktcm"/>
      </w:pPr>
      <w:r w:rsidRPr="00556EBE">
        <w:t>Abstract</w:t>
      </w:r>
    </w:p>
    <w:p w:rsidR="00E41334" w:rsidRPr="0008161F" w:rsidRDefault="00E41334" w:rsidP="00E41334">
      <w:pPr>
        <w:pStyle w:val="Absztrakttext"/>
      </w:pPr>
      <w:r w:rsidRPr="0008161F">
        <w:t>Infant mastery motivation has been regarded as an important developmental precursor for later achievement and adaptability. This longitudinal study examined the cross-wave stablility of mastery motivation and its association with general competence in different periods of infancy and early childhood. Fifty-three 10-month-old infants and their mothers participated in this study. Children’s mastery motivation and general competence were rated by mothers using the Dimensions of Mastery Questionnaire at each wave of testing at 10, 21, 26, 37, and 53 months. The cross-wave analyses of stability and predictability were conducted on three sets of 16-month intervals (i.e., 10 to 26 mo., 21 to 37 mo., and 37 to 53 mo.) and from 10 to 53 months of age. Results indicated that children’s task persistence, especially in the cognitive and physical domains, remained stable throughout infancy and early childhood. The domain of negative reactions to failure showed consistent stability in all three sets of 16-month intervals while mastery pleasure was only stable when children were younger than two years of age. In terms of the predictability of mastery motivation, task persistence remained a significant predictor of competence across different periods in infancy and early childhood even after controlling for participants’ demographic backgrounds and prior competence.</w:t>
      </w:r>
    </w:p>
    <w:p w:rsidR="00E41334" w:rsidRPr="009A584B" w:rsidRDefault="00E41334" w:rsidP="00E41334">
      <w:pPr>
        <w:pStyle w:val="Keywords"/>
      </w:pPr>
      <w:r w:rsidRPr="00454DC8">
        <w:t>Keywords</w:t>
      </w:r>
      <w:r w:rsidRPr="0008161F">
        <w:rPr>
          <w:b w:val="0"/>
        </w:rPr>
        <w:t>: competence, infan</w:t>
      </w:r>
      <w:r w:rsidRPr="0008161F">
        <w:rPr>
          <w:rFonts w:eastAsia="PMingLiU" w:hint="eastAsia"/>
          <w:b w:val="0"/>
          <w:lang w:eastAsia="zh-TW"/>
        </w:rPr>
        <w:t>ts</w:t>
      </w:r>
      <w:r w:rsidRPr="0008161F">
        <w:rPr>
          <w:b w:val="0"/>
        </w:rPr>
        <w:t xml:space="preserve">, </w:t>
      </w:r>
      <w:r w:rsidRPr="0008161F">
        <w:rPr>
          <w:rFonts w:eastAsia="PMingLiU" w:hint="eastAsia"/>
          <w:b w:val="0"/>
          <w:lang w:eastAsia="zh-TW"/>
        </w:rPr>
        <w:t xml:space="preserve">longitudinal studies, </w:t>
      </w:r>
      <w:r w:rsidRPr="0008161F">
        <w:rPr>
          <w:b w:val="0"/>
        </w:rPr>
        <w:t>mastery motivation, preschool</w:t>
      </w:r>
      <w:r w:rsidRPr="0008161F">
        <w:rPr>
          <w:rFonts w:eastAsia="PMingLiU" w:hint="eastAsia"/>
          <w:b w:val="0"/>
          <w:lang w:eastAsia="zh-TW"/>
        </w:rPr>
        <w:t xml:space="preserve"> children</w:t>
      </w:r>
      <w:r w:rsidRPr="0008161F">
        <w:rPr>
          <w:b w:val="0"/>
        </w:rPr>
        <w:t>, stability</w:t>
      </w:r>
    </w:p>
    <w:p w:rsidR="00E41334" w:rsidRPr="00556EBE" w:rsidRDefault="00E41334" w:rsidP="00E41334">
      <w:pPr>
        <w:pStyle w:val="Sectiontitle"/>
      </w:pPr>
      <w:r>
        <w:br w:type="page"/>
      </w:r>
      <w:r w:rsidRPr="00556EBE">
        <w:lastRenderedPageBreak/>
        <w:t>Introduction</w:t>
      </w:r>
    </w:p>
    <w:p w:rsidR="00E41334" w:rsidRDefault="00E41334" w:rsidP="00E41334">
      <w:pPr>
        <w:pStyle w:val="Text"/>
        <w:rPr>
          <w:rFonts w:eastAsia="PMingLiU"/>
          <w:shd w:val="clear" w:color="auto" w:fill="FFFFFF"/>
          <w:lang w:eastAsia="zh-TW"/>
        </w:rPr>
      </w:pPr>
      <w:r w:rsidRPr="00556EBE">
        <w:rPr>
          <w:shd w:val="clear" w:color="auto" w:fill="FFFFFF"/>
        </w:rPr>
        <w:t xml:space="preserve">Mastery motivation is rooted in the desire to effectively interact with environment (i.e., effectance motivation; White, 1959) and acts as a propeller for children to master problem-solving tasks. Previous studies </w:t>
      </w:r>
      <w:r w:rsidRPr="00482169">
        <w:rPr>
          <w:rFonts w:eastAsia="PMingLiU" w:hint="eastAsia"/>
          <w:shd w:val="clear" w:color="auto" w:fill="FFFFFF"/>
          <w:lang w:eastAsia="zh-TW"/>
        </w:rPr>
        <w:t xml:space="preserve">have </w:t>
      </w:r>
      <w:r w:rsidRPr="00556EBE">
        <w:rPr>
          <w:shd w:val="clear" w:color="auto" w:fill="FFFFFF"/>
        </w:rPr>
        <w:t xml:space="preserve">indicated that individual differences in mastery motivation </w:t>
      </w:r>
      <w:r w:rsidRPr="00482169">
        <w:rPr>
          <w:rFonts w:eastAsia="PMingLiU" w:hint="eastAsia"/>
          <w:shd w:val="clear" w:color="auto" w:fill="FFFFFF"/>
          <w:lang w:eastAsia="zh-TW"/>
        </w:rPr>
        <w:t>are</w:t>
      </w:r>
      <w:r w:rsidRPr="00556EBE">
        <w:rPr>
          <w:shd w:val="clear" w:color="auto" w:fill="FFFFFF"/>
        </w:rPr>
        <w:t xml:space="preserve"> already manifested in early childhood (e.g., Kelley</w:t>
      </w:r>
      <w:r w:rsidRPr="00556EBE">
        <w:t xml:space="preserve">, Brownell, &amp; Campbell, </w:t>
      </w:r>
      <w:r w:rsidRPr="00556EBE">
        <w:rPr>
          <w:shd w:val="clear" w:color="auto" w:fill="FFFFFF"/>
        </w:rPr>
        <w:t xml:space="preserve">2000; Smiley &amp; Dweck, 1994; Yarrow, McQuiston, MacTurk, McCarthy, &amp; Vietze, 1983). Different researchers have documented the presence of early individual differences </w:t>
      </w:r>
      <w:r>
        <w:rPr>
          <w:shd w:val="clear" w:color="auto" w:fill="FFFFFF"/>
        </w:rPr>
        <w:t>in</w:t>
      </w:r>
      <w:r w:rsidRPr="00556EBE">
        <w:rPr>
          <w:shd w:val="clear" w:color="auto" w:fill="FFFFFF"/>
        </w:rPr>
        <w:t xml:space="preserve"> mastery motivation and its stability across time as well as its predictability </w:t>
      </w:r>
      <w:r>
        <w:rPr>
          <w:shd w:val="clear" w:color="auto" w:fill="FFFFFF"/>
        </w:rPr>
        <w:t>of</w:t>
      </w:r>
      <w:r w:rsidRPr="00556EBE">
        <w:rPr>
          <w:shd w:val="clear" w:color="auto" w:fill="FFFFFF"/>
        </w:rPr>
        <w:t xml:space="preserve"> later competence in mastering the environment. Although the above </w:t>
      </w:r>
      <w:r>
        <w:rPr>
          <w:shd w:val="clear" w:color="auto" w:fill="FFFFFF"/>
        </w:rPr>
        <w:t>studies</w:t>
      </w:r>
      <w:r w:rsidRPr="00556EBE">
        <w:rPr>
          <w:shd w:val="clear" w:color="auto" w:fill="FFFFFF"/>
        </w:rPr>
        <w:t xml:space="preserve"> emphasized different aspects of competence (Messer, McCarthy, MacTurk, Yarrow, &amp; Vietze, 1986; Yarrow et al., 1983; Niccols, Atkison, &amp; Pepler, 2003), they seem to converge in regarding competence as an organism’s capacity to interact effectively with </w:t>
      </w:r>
      <w:r>
        <w:rPr>
          <w:shd w:val="clear" w:color="auto" w:fill="FFFFFF"/>
        </w:rPr>
        <w:t xml:space="preserve">the </w:t>
      </w:r>
      <w:r w:rsidRPr="00556EBE">
        <w:rPr>
          <w:shd w:val="clear" w:color="auto" w:fill="FFFFFF"/>
        </w:rPr>
        <w:t>environment. In this vein, Morgan, Busch-Rossnagel, Barrett, and Wang (2009) postulated that the concept of “general competence” was indicated by children’s ability to master their environment. Similarly, various studies have used different methods to investigate mastery motivation</w:t>
      </w:r>
      <w:r>
        <w:rPr>
          <w:shd w:val="clear" w:color="auto" w:fill="FFFFFF"/>
        </w:rPr>
        <w:t>.</w:t>
      </w:r>
      <w:r w:rsidRPr="00556EBE">
        <w:rPr>
          <w:shd w:val="clear" w:color="auto" w:fill="FFFFFF"/>
        </w:rPr>
        <w:t xml:space="preserve"> Jennings, Harmon, Morgan, Gaiter, </w:t>
      </w:r>
      <w:r>
        <w:rPr>
          <w:shd w:val="clear" w:color="auto" w:fill="FFFFFF"/>
        </w:rPr>
        <w:t>and</w:t>
      </w:r>
      <w:r w:rsidRPr="00556EBE">
        <w:rPr>
          <w:shd w:val="clear" w:color="auto" w:fill="FFFFFF"/>
        </w:rPr>
        <w:t xml:space="preserve"> Yarrow </w:t>
      </w:r>
      <w:r>
        <w:rPr>
          <w:shd w:val="clear" w:color="auto" w:fill="FFFFFF"/>
        </w:rPr>
        <w:t>(</w:t>
      </w:r>
      <w:r w:rsidRPr="00556EBE">
        <w:rPr>
          <w:shd w:val="clear" w:color="auto" w:fill="FFFFFF"/>
        </w:rPr>
        <w:t>1979</w:t>
      </w:r>
      <w:r>
        <w:rPr>
          <w:shd w:val="clear" w:color="auto" w:fill="FFFFFF"/>
        </w:rPr>
        <w:t>) used free play</w:t>
      </w:r>
      <w:r w:rsidRPr="00556EBE">
        <w:rPr>
          <w:shd w:val="clear" w:color="auto" w:fill="FFFFFF"/>
        </w:rPr>
        <w:t xml:space="preserve">; Yarrow et al. </w:t>
      </w:r>
      <w:r>
        <w:rPr>
          <w:shd w:val="clear" w:color="auto" w:fill="FFFFFF"/>
        </w:rPr>
        <w:t>(</w:t>
      </w:r>
      <w:r w:rsidRPr="00556EBE">
        <w:rPr>
          <w:shd w:val="clear" w:color="auto" w:fill="FFFFFF"/>
        </w:rPr>
        <w:t>1983</w:t>
      </w:r>
      <w:r>
        <w:rPr>
          <w:shd w:val="clear" w:color="auto" w:fill="FFFFFF"/>
        </w:rPr>
        <w:t>)</w:t>
      </w:r>
      <w:r w:rsidRPr="00DF48B5">
        <w:rPr>
          <w:shd w:val="clear" w:color="auto" w:fill="FFFFFF"/>
        </w:rPr>
        <w:t xml:space="preserve"> </w:t>
      </w:r>
      <w:r>
        <w:rPr>
          <w:shd w:val="clear" w:color="auto" w:fill="FFFFFF"/>
        </w:rPr>
        <w:t>used age-appropriate structured tasks</w:t>
      </w:r>
      <w:r w:rsidRPr="00556EBE">
        <w:rPr>
          <w:shd w:val="clear" w:color="auto" w:fill="FFFFFF"/>
        </w:rPr>
        <w:t xml:space="preserve">; Morgan, Busch-Rossnagel, Maslin-Cole, </w:t>
      </w:r>
      <w:r>
        <w:rPr>
          <w:shd w:val="clear" w:color="auto" w:fill="FFFFFF"/>
        </w:rPr>
        <w:t>and</w:t>
      </w:r>
      <w:r w:rsidRPr="00556EBE">
        <w:rPr>
          <w:shd w:val="clear" w:color="auto" w:fill="FFFFFF"/>
        </w:rPr>
        <w:t xml:space="preserve"> Harmon </w:t>
      </w:r>
      <w:r>
        <w:rPr>
          <w:shd w:val="clear" w:color="auto" w:fill="FFFFFF"/>
        </w:rPr>
        <w:t>(</w:t>
      </w:r>
      <w:r w:rsidRPr="00556EBE">
        <w:rPr>
          <w:shd w:val="clear" w:color="auto" w:fill="FFFFFF"/>
        </w:rPr>
        <w:t>1992</w:t>
      </w:r>
      <w:r>
        <w:rPr>
          <w:shd w:val="clear" w:color="auto" w:fill="FFFFFF"/>
        </w:rPr>
        <w:t>) used individualized moderately challenging tasks</w:t>
      </w:r>
      <w:r w:rsidRPr="00556EBE">
        <w:rPr>
          <w:shd w:val="clear" w:color="auto" w:fill="FFFFFF"/>
        </w:rPr>
        <w:t xml:space="preserve">; Morgan et al. </w:t>
      </w:r>
      <w:r>
        <w:rPr>
          <w:shd w:val="clear" w:color="auto" w:fill="FFFFFF"/>
        </w:rPr>
        <w:t>(</w:t>
      </w:r>
      <w:r w:rsidRPr="00556EBE">
        <w:rPr>
          <w:shd w:val="clear" w:color="auto" w:fill="FFFFFF"/>
        </w:rPr>
        <w:t>2009)</w:t>
      </w:r>
      <w:r>
        <w:rPr>
          <w:shd w:val="clear" w:color="auto" w:fill="FFFFFF"/>
        </w:rPr>
        <w:t xml:space="preserve"> used adult ratings of the child’s motivation and competence; and Huang, </w:t>
      </w:r>
      <w:r w:rsidRPr="00A16A54">
        <w:rPr>
          <w:shd w:val="clear" w:color="auto" w:fill="FFFFFF"/>
        </w:rPr>
        <w:t>Lay</w:t>
      </w:r>
      <w:r>
        <w:rPr>
          <w:shd w:val="clear" w:color="auto" w:fill="FFFFFF"/>
        </w:rPr>
        <w:t>, and Chen</w:t>
      </w:r>
      <w:r w:rsidRPr="00A16A54">
        <w:rPr>
          <w:shd w:val="clear" w:color="auto" w:fill="FFFFFF"/>
        </w:rPr>
        <w:t xml:space="preserve"> (</w:t>
      </w:r>
      <w:r>
        <w:rPr>
          <w:shd w:val="clear" w:color="auto" w:fill="FFFFFF"/>
        </w:rPr>
        <w:t>2009) used q-sort observation of</w:t>
      </w:r>
      <w:r w:rsidRPr="00A16A54">
        <w:rPr>
          <w:shd w:val="clear" w:color="auto" w:fill="FFFFFF"/>
        </w:rPr>
        <w:t xml:space="preserve"> the child's problem solving behaviors.</w:t>
      </w:r>
    </w:p>
    <w:p w:rsidR="00E41334" w:rsidRPr="00556EBE" w:rsidRDefault="00E41334" w:rsidP="00E41334">
      <w:pPr>
        <w:pStyle w:val="Text"/>
        <w:rPr>
          <w:shd w:val="clear" w:color="auto" w:fill="FFFFFF"/>
        </w:rPr>
      </w:pPr>
      <w:r w:rsidRPr="00556EBE">
        <w:rPr>
          <w:shd w:val="clear" w:color="auto" w:fill="FFFFFF"/>
        </w:rPr>
        <w:t>Aside from mastery motivation and competence being defined and measured differently in different research, the realization of the stability and the predictability of early mastery motivation may depend on how empirical data are collected. For example, the age of the subjects, the interval of the across-time assessments, the task domain (e.g., cognitive vs. social domains) applied to assess mastery, the compatibility of the measurements used at different ages, and the informant of data collection (e.g., experimenter vs. caregiver) may all be factors that lead to different empirical resu</w:t>
      </w:r>
      <w:r>
        <w:rPr>
          <w:shd w:val="clear" w:color="auto" w:fill="FFFFFF"/>
        </w:rPr>
        <w:t>lts.</w:t>
      </w:r>
    </w:p>
    <w:p w:rsidR="00E41334" w:rsidRDefault="00E41334" w:rsidP="00E41334">
      <w:pPr>
        <w:pStyle w:val="Text"/>
        <w:rPr>
          <w:shd w:val="clear" w:color="auto" w:fill="FFFFFF"/>
        </w:rPr>
      </w:pPr>
      <w:r w:rsidRPr="00556EBE">
        <w:rPr>
          <w:shd w:val="clear" w:color="auto" w:fill="FFFFFF"/>
        </w:rPr>
        <w:t>This study used mothers as the informant of children’s mastery motivation and competence from infancy to the preschool period. With the ultimate goal of understanding whether individuals maintain their order of mastery motivation relative to other individuals at different points in early childhood and whether mastery motivation assessed at different ages early in life remains an essential precursor of later competence, the aim of this study was twofold. The first was to demonstrate the stability of mastery motivation in different periods of infancy and early childhood. The second is</w:t>
      </w:r>
      <w:r>
        <w:rPr>
          <w:shd w:val="clear" w:color="auto" w:fill="FFFFFF"/>
        </w:rPr>
        <w:t xml:space="preserve"> </w:t>
      </w:r>
      <w:r w:rsidRPr="00556EBE">
        <w:rPr>
          <w:shd w:val="clear" w:color="auto" w:fill="FFFFFF"/>
        </w:rPr>
        <w:t>to examine the consistency and variation of the predictability of early assessments of mastery motivation to later development</w:t>
      </w:r>
      <w:r>
        <w:rPr>
          <w:shd w:val="clear" w:color="auto" w:fill="FFFFFF"/>
        </w:rPr>
        <w:t xml:space="preserve">, </w:t>
      </w:r>
      <w:r w:rsidRPr="00251CA8">
        <w:rPr>
          <w:rFonts w:hint="eastAsia"/>
          <w:shd w:val="clear" w:color="auto" w:fill="FFFFFF"/>
        </w:rPr>
        <w:t>by</w:t>
      </w:r>
      <w:r w:rsidRPr="00251CA8">
        <w:rPr>
          <w:shd w:val="clear" w:color="auto" w:fill="FFFFFF"/>
        </w:rPr>
        <w:t xml:space="preserve"> using “general competence”</w:t>
      </w:r>
      <w:r w:rsidRPr="00251CA8">
        <w:rPr>
          <w:rFonts w:hint="eastAsia"/>
          <w:shd w:val="clear" w:color="auto" w:fill="FFFFFF"/>
        </w:rPr>
        <w:t xml:space="preserve"> reported by mothers</w:t>
      </w:r>
      <w:r w:rsidRPr="00251CA8">
        <w:rPr>
          <w:shd w:val="clear" w:color="auto" w:fill="FFFFFF"/>
        </w:rPr>
        <w:t xml:space="preserve"> as the target outcome</w:t>
      </w:r>
      <w:r w:rsidRPr="00556EBE">
        <w:rPr>
          <w:shd w:val="clear" w:color="auto" w:fill="FFFFFF"/>
        </w:rPr>
        <w:t>.</w:t>
      </w:r>
    </w:p>
    <w:p w:rsidR="00E41334" w:rsidRPr="00556EBE" w:rsidRDefault="00E41334" w:rsidP="00E41334">
      <w:pPr>
        <w:pStyle w:val="Sectiontitle"/>
        <w:rPr>
          <w:shd w:val="clear" w:color="auto" w:fill="FFFFFF"/>
        </w:rPr>
      </w:pPr>
      <w:r>
        <w:rPr>
          <w:shd w:val="clear" w:color="auto" w:fill="FFFFFF"/>
        </w:rPr>
        <w:br w:type="page"/>
      </w:r>
      <w:r w:rsidRPr="00556EBE">
        <w:rPr>
          <w:shd w:val="clear" w:color="auto" w:fill="FFFFFF"/>
        </w:rPr>
        <w:lastRenderedPageBreak/>
        <w:t>Definition and Assessment of Mastery Motivation</w:t>
      </w:r>
    </w:p>
    <w:p w:rsidR="00E41334" w:rsidRPr="00556EBE" w:rsidRDefault="00E41334" w:rsidP="00E41334">
      <w:pPr>
        <w:pStyle w:val="Text"/>
        <w:rPr>
          <w:shd w:val="clear" w:color="auto" w:fill="FFFFFF"/>
        </w:rPr>
      </w:pPr>
      <w:r w:rsidRPr="000D3FD9">
        <w:rPr>
          <w:shd w:val="clear" w:color="auto" w:fill="FFFFFF"/>
        </w:rPr>
        <w:t>Mastery motivation activates and maintains children’s endeavors in regard to skill learning and problem solving</w:t>
      </w:r>
      <w:r>
        <w:rPr>
          <w:shd w:val="clear" w:color="auto" w:fill="FFFFFF"/>
        </w:rPr>
        <w:t>,</w:t>
      </w:r>
      <w:r w:rsidRPr="000D3FD9">
        <w:rPr>
          <w:shd w:val="clear" w:color="auto" w:fill="FFFFFF"/>
        </w:rPr>
        <w:t xml:space="preserve"> which are important contributor</w:t>
      </w:r>
      <w:r>
        <w:rPr>
          <w:shd w:val="clear" w:color="auto" w:fill="FFFFFF"/>
        </w:rPr>
        <w:t>s</w:t>
      </w:r>
      <w:r w:rsidRPr="000D3FD9">
        <w:rPr>
          <w:shd w:val="clear" w:color="auto" w:fill="FFFFFF"/>
        </w:rPr>
        <w:t xml:space="preserve"> to children’s adaptation and the development of competence</w:t>
      </w:r>
      <w:r w:rsidRPr="00556EBE">
        <w:rPr>
          <w:shd w:val="clear" w:color="auto" w:fill="FFFFFF"/>
        </w:rPr>
        <w:t>. The manifestation of mastery motivation can include both instrumental and expressive aspects (Morgan et al., 2009</w:t>
      </w:r>
      <w:r>
        <w:rPr>
          <w:shd w:val="clear" w:color="auto" w:fill="FFFFFF"/>
        </w:rPr>
        <w:t xml:space="preserve">; </w:t>
      </w:r>
      <w:r>
        <w:t>Morgan, Józsa, &amp;</w:t>
      </w:r>
      <w:r w:rsidRPr="00E10E19">
        <w:t xml:space="preserve"> Liao, 2017</w:t>
      </w:r>
      <w:r w:rsidRPr="00556EBE">
        <w:rPr>
          <w:shd w:val="clear" w:color="auto" w:fill="FFFFFF"/>
        </w:rPr>
        <w:t>). The instrumental aspect includes indicators such as staying focused on and persistent in tasks. The expressive aspect includes indicators such as mastery pleasure and frustration while facing failure (Barrett &amp; Morgan, 1995). Moreover, mastery motivation may also</w:t>
      </w:r>
      <w:r>
        <w:rPr>
          <w:shd w:val="clear" w:color="auto" w:fill="FFFFFF"/>
        </w:rPr>
        <w:t xml:space="preserve"> </w:t>
      </w:r>
      <w:r w:rsidRPr="00556EBE">
        <w:rPr>
          <w:shd w:val="clear" w:color="auto" w:fill="FFFFFF"/>
        </w:rPr>
        <w:t xml:space="preserve">comprise different domains </w:t>
      </w:r>
      <w:r>
        <w:rPr>
          <w:shd w:val="clear" w:color="auto" w:fill="FFFFFF"/>
        </w:rPr>
        <w:t>from</w:t>
      </w:r>
      <w:r w:rsidRPr="00556EBE">
        <w:rPr>
          <w:shd w:val="clear" w:color="auto" w:fill="FFFFFF"/>
        </w:rPr>
        <w:t xml:space="preserve"> early in life, such as object/cognitive, social, and physical domains (Wachs &amp; Combs, 1995). Empirical research has not only shown individual difference</w:t>
      </w:r>
      <w:r>
        <w:rPr>
          <w:shd w:val="clear" w:color="auto" w:fill="FFFFFF"/>
        </w:rPr>
        <w:t>s</w:t>
      </w:r>
      <w:r w:rsidRPr="00556EBE">
        <w:rPr>
          <w:shd w:val="clear" w:color="auto" w:fill="FFFFFF"/>
        </w:rPr>
        <w:t xml:space="preserve"> across different domains but also indicated that children with different developmental problems react differently in different domains of mastery tasks (</w:t>
      </w:r>
      <w:r>
        <w:rPr>
          <w:shd w:val="clear" w:color="auto" w:fill="FFFFFF"/>
        </w:rPr>
        <w:t xml:space="preserve">Morgan et al., 2017; </w:t>
      </w:r>
      <w:r w:rsidRPr="00556EBE">
        <w:rPr>
          <w:shd w:val="clear" w:color="auto" w:fill="FFFFFF"/>
        </w:rPr>
        <w:t>Morgan, Wang, Liao, &amp; Xu, 2013)</w:t>
      </w:r>
      <w:r w:rsidRPr="00556EBE">
        <w:rPr>
          <w:rFonts w:eastAsia="PMingLiU"/>
          <w:shd w:val="clear" w:color="auto" w:fill="FFFFFF"/>
          <w:lang w:eastAsia="zh-TW"/>
        </w:rPr>
        <w:t>.</w:t>
      </w:r>
    </w:p>
    <w:p w:rsidR="00E41334" w:rsidRPr="00556EBE" w:rsidRDefault="00E41334" w:rsidP="00E41334">
      <w:pPr>
        <w:pStyle w:val="Text"/>
        <w:rPr>
          <w:shd w:val="clear" w:color="auto" w:fill="FFFFFF"/>
        </w:rPr>
      </w:pPr>
      <w:r w:rsidRPr="00556EBE">
        <w:rPr>
          <w:shd w:val="clear" w:color="auto" w:fill="FFFFFF"/>
        </w:rPr>
        <w:t>Children’s mastery motivation can be assessed either through observation in</w:t>
      </w:r>
      <w:r>
        <w:rPr>
          <w:shd w:val="clear" w:color="auto" w:fill="FFFFFF"/>
        </w:rPr>
        <w:t xml:space="preserve"> the</w:t>
      </w:r>
      <w:r w:rsidRPr="00556EBE">
        <w:rPr>
          <w:shd w:val="clear" w:color="auto" w:fill="FFFFFF"/>
        </w:rPr>
        <w:t xml:space="preserve"> contexts of free play (e.g., Jennings, Connors, &amp; Stegman, 1988) and structured challenging tasks (e.g., </w:t>
      </w:r>
      <w:r w:rsidRPr="00DC214C">
        <w:rPr>
          <w:shd w:val="clear" w:color="auto" w:fill="FFFFFF"/>
        </w:rPr>
        <w:t>Barrett, Józsa, &amp; Morgan, 2017</w:t>
      </w:r>
      <w:r>
        <w:rPr>
          <w:shd w:val="clear" w:color="auto" w:fill="FFFFFF"/>
        </w:rPr>
        <w:t xml:space="preserve">; </w:t>
      </w:r>
      <w:r w:rsidRPr="00DC214C">
        <w:rPr>
          <w:shd w:val="clear" w:color="auto" w:fill="FFFFFF"/>
        </w:rPr>
        <w:t>Józsa, Barrett, Józsa, Kis, &amp; Morgan,</w:t>
      </w:r>
      <w:r>
        <w:rPr>
          <w:shd w:val="clear" w:color="auto" w:fill="FFFFFF"/>
        </w:rPr>
        <w:t xml:space="preserve"> </w:t>
      </w:r>
      <w:r w:rsidRPr="00DC214C">
        <w:rPr>
          <w:shd w:val="clear" w:color="auto" w:fill="FFFFFF"/>
        </w:rPr>
        <w:t>2017</w:t>
      </w:r>
      <w:r>
        <w:rPr>
          <w:shd w:val="clear" w:color="auto" w:fill="FFFFFF"/>
        </w:rPr>
        <w:t xml:space="preserve">; </w:t>
      </w:r>
      <w:r w:rsidRPr="00556EBE">
        <w:rPr>
          <w:shd w:val="clear" w:color="auto" w:fill="FFFFFF"/>
        </w:rPr>
        <w:t>Morgan et al., 1992</w:t>
      </w:r>
      <w:r>
        <w:rPr>
          <w:shd w:val="clear" w:color="auto" w:fill="FFFFFF"/>
        </w:rPr>
        <w:t xml:space="preserve">; </w:t>
      </w:r>
      <w:r w:rsidRPr="00941CA0">
        <w:t>Wang, Liao, &amp; Morgan, 2017</w:t>
      </w:r>
      <w:r w:rsidRPr="00556EBE">
        <w:rPr>
          <w:shd w:val="clear" w:color="auto" w:fill="FFFFFF"/>
        </w:rPr>
        <w:t>) or through rating scales by</w:t>
      </w:r>
      <w:r>
        <w:rPr>
          <w:shd w:val="clear" w:color="auto" w:fill="FFFFFF"/>
        </w:rPr>
        <w:t xml:space="preserve"> </w:t>
      </w:r>
      <w:r w:rsidRPr="00556EBE">
        <w:rPr>
          <w:shd w:val="clear" w:color="auto" w:fill="FFFFFF"/>
        </w:rPr>
        <w:t>parent</w:t>
      </w:r>
      <w:r>
        <w:rPr>
          <w:shd w:val="clear" w:color="auto" w:fill="FFFFFF"/>
        </w:rPr>
        <w:t>,</w:t>
      </w:r>
      <w:r w:rsidRPr="00556EBE">
        <w:rPr>
          <w:shd w:val="clear" w:color="auto" w:fill="FFFFFF"/>
        </w:rPr>
        <w:t xml:space="preserve"> teacher</w:t>
      </w:r>
      <w:r>
        <w:rPr>
          <w:shd w:val="clear" w:color="auto" w:fill="FFFFFF"/>
        </w:rPr>
        <w:t xml:space="preserve"> (Hwang</w:t>
      </w:r>
      <w:r w:rsidRPr="002A34B8">
        <w:rPr>
          <w:shd w:val="clear" w:color="auto" w:fill="FFFFFF"/>
        </w:rPr>
        <w:t xml:space="preserve"> </w:t>
      </w:r>
      <w:r>
        <w:rPr>
          <w:shd w:val="clear" w:color="auto" w:fill="FFFFFF"/>
        </w:rPr>
        <w:t xml:space="preserve">et al., </w:t>
      </w:r>
      <w:r w:rsidRPr="002A34B8">
        <w:rPr>
          <w:shd w:val="clear" w:color="auto" w:fill="FFFFFF"/>
        </w:rPr>
        <w:t>2017</w:t>
      </w:r>
      <w:r>
        <w:rPr>
          <w:shd w:val="clear" w:color="auto" w:fill="FFFFFF"/>
        </w:rPr>
        <w:t>;</w:t>
      </w:r>
      <w:r w:rsidRPr="002A34B8">
        <w:rPr>
          <w:shd w:val="clear" w:color="auto" w:fill="FFFFFF"/>
        </w:rPr>
        <w:t xml:space="preserve"> </w:t>
      </w:r>
      <w:r>
        <w:t xml:space="preserve">Józsa, &amp; Molnár, </w:t>
      </w:r>
      <w:r w:rsidRPr="002839E2">
        <w:t>2013</w:t>
      </w:r>
      <w:r>
        <w:t>;</w:t>
      </w:r>
      <w:r w:rsidRPr="00554B48">
        <w:rPr>
          <w:shd w:val="clear" w:color="auto" w:fill="FFFFFF"/>
        </w:rPr>
        <w:t xml:space="preserve"> Morgan</w:t>
      </w:r>
      <w:r>
        <w:rPr>
          <w:shd w:val="clear" w:color="auto" w:fill="FFFFFF"/>
        </w:rPr>
        <w:t xml:space="preserve"> et al., 2017), or students’ self-ratings (</w:t>
      </w:r>
      <w:r w:rsidRPr="00036D08">
        <w:t>Józsa</w:t>
      </w:r>
      <w:r>
        <w:t xml:space="preserve"> &amp; Morgan, 2014, </w:t>
      </w:r>
      <w:r w:rsidRPr="00036D08">
        <w:t>2017</w:t>
      </w:r>
      <w:r>
        <w:t>;</w:t>
      </w:r>
      <w:r>
        <w:rPr>
          <w:shd w:val="clear" w:color="auto" w:fill="FFFFFF"/>
        </w:rPr>
        <w:t xml:space="preserve"> </w:t>
      </w:r>
      <w:r>
        <w:t xml:space="preserve">Józsa, </w:t>
      </w:r>
      <w:r w:rsidRPr="00946BDD">
        <w:t>Wang,</w:t>
      </w:r>
      <w:r w:rsidRPr="00040CBF">
        <w:rPr>
          <w:rFonts w:eastAsia="PMingLiU" w:hint="eastAsia"/>
          <w:lang w:eastAsia="zh-TW"/>
        </w:rPr>
        <w:t xml:space="preserve"> </w:t>
      </w:r>
      <w:r w:rsidRPr="00946BDD">
        <w:t xml:space="preserve">Barrett, </w:t>
      </w:r>
      <w:r>
        <w:t xml:space="preserve">&amp; Morgan, </w:t>
      </w:r>
      <w:r w:rsidRPr="00946BDD">
        <w:rPr>
          <w:rFonts w:hint="eastAsia"/>
        </w:rPr>
        <w:t>2014</w:t>
      </w:r>
      <w:r>
        <w:rPr>
          <w:shd w:val="clear" w:color="auto" w:fill="FFFFFF"/>
        </w:rPr>
        <w:t>).</w:t>
      </w:r>
      <w:r w:rsidRPr="00556EBE">
        <w:rPr>
          <w:shd w:val="clear" w:color="auto" w:fill="FFFFFF"/>
        </w:rPr>
        <w:t xml:space="preserve"> Among them, the rating scale method has the advantage of ease</w:t>
      </w:r>
      <w:r>
        <w:rPr>
          <w:shd w:val="clear" w:color="auto" w:fill="FFFFFF"/>
        </w:rPr>
        <w:t xml:space="preserve"> of</w:t>
      </w:r>
      <w:r w:rsidRPr="00556EBE">
        <w:rPr>
          <w:shd w:val="clear" w:color="auto" w:fill="FFFFFF"/>
        </w:rPr>
        <w:t xml:space="preserve"> data collection without lengthy behavioral assessment and thus makes it possible to apply repetitive assessments, which is necessary in longitudinal design</w:t>
      </w:r>
      <w:r>
        <w:rPr>
          <w:shd w:val="clear" w:color="auto" w:fill="FFFFFF"/>
        </w:rPr>
        <w:t>s</w:t>
      </w:r>
      <w:r w:rsidRPr="00556EBE">
        <w:rPr>
          <w:shd w:val="clear" w:color="auto" w:fill="FFFFFF"/>
        </w:rPr>
        <w:t xml:space="preserve">. The Dimensions of Mastery Questionnaire (DMQ; Morgan et al., 2009) assesses six domains of adults’ perceptions of children’s mastery related behaviors; among them, four domains </w:t>
      </w:r>
      <w:r>
        <w:rPr>
          <w:shd w:val="clear" w:color="auto" w:fill="FFFFFF"/>
        </w:rPr>
        <w:t>assess</w:t>
      </w:r>
      <w:r w:rsidRPr="00556EBE">
        <w:rPr>
          <w:shd w:val="clear" w:color="auto" w:fill="FFFFFF"/>
        </w:rPr>
        <w:t xml:space="preserve"> the instrumental aspects, namely, cognitive/object-oriented persistence, gross motor persistence, and social persistence with adults and </w:t>
      </w:r>
      <w:r>
        <w:rPr>
          <w:shd w:val="clear" w:color="auto" w:fill="FFFFFF"/>
        </w:rPr>
        <w:t xml:space="preserve">also with </w:t>
      </w:r>
      <w:r w:rsidRPr="00556EBE">
        <w:rPr>
          <w:shd w:val="clear" w:color="auto" w:fill="FFFFFF"/>
        </w:rPr>
        <w:t xml:space="preserve">children. </w:t>
      </w:r>
      <w:r>
        <w:rPr>
          <w:shd w:val="clear" w:color="auto" w:fill="FFFFFF"/>
        </w:rPr>
        <w:t xml:space="preserve">The </w:t>
      </w:r>
      <w:r w:rsidRPr="00556EBE">
        <w:rPr>
          <w:shd w:val="clear" w:color="auto" w:fill="FFFFFF"/>
        </w:rPr>
        <w:t xml:space="preserve">other two domains, mastery pleasure and negative reactions to failure in mastery situations, are for assessing the expressive aspects of mastery motivation. </w:t>
      </w:r>
      <w:r>
        <w:rPr>
          <w:shd w:val="clear" w:color="auto" w:fill="FFFFFF"/>
        </w:rPr>
        <w:t xml:space="preserve">The </w:t>
      </w:r>
      <w:r w:rsidRPr="00556EBE">
        <w:rPr>
          <w:shd w:val="clear" w:color="auto" w:fill="FFFFFF"/>
        </w:rPr>
        <w:t>DMQ also provides another scale for assessing child</w:t>
      </w:r>
      <w:r w:rsidRPr="00482169">
        <w:rPr>
          <w:rFonts w:eastAsia="PMingLiU" w:hint="eastAsia"/>
          <w:shd w:val="clear" w:color="auto" w:fill="FFFFFF"/>
          <w:lang w:eastAsia="zh-TW"/>
        </w:rPr>
        <w:t>ren</w:t>
      </w:r>
      <w:r w:rsidRPr="00556EBE">
        <w:rPr>
          <w:shd w:val="clear" w:color="auto" w:fill="FFFFFF"/>
        </w:rPr>
        <w:t>’s ability (in contrast to motivation) to master tasks (i.e., general competence).</w:t>
      </w:r>
    </w:p>
    <w:p w:rsidR="00E41334" w:rsidRPr="00556EBE" w:rsidRDefault="00E41334" w:rsidP="00E41334">
      <w:pPr>
        <w:pStyle w:val="Text"/>
        <w:rPr>
          <w:shd w:val="clear" w:color="auto" w:fill="FFFFFF"/>
        </w:rPr>
      </w:pPr>
      <w:r w:rsidRPr="00556EBE">
        <w:rPr>
          <w:shd w:val="clear" w:color="auto" w:fill="FFFFFF"/>
        </w:rPr>
        <w:t xml:space="preserve">Aside from the ease of data collection, another advantage of </w:t>
      </w:r>
      <w:r>
        <w:rPr>
          <w:shd w:val="clear" w:color="auto" w:fill="FFFFFF"/>
        </w:rPr>
        <w:t xml:space="preserve">the </w:t>
      </w:r>
      <w:r w:rsidRPr="00556EBE">
        <w:rPr>
          <w:shd w:val="clear" w:color="auto" w:fill="FFFFFF"/>
        </w:rPr>
        <w:t xml:space="preserve">DMQ is that, with the same conceptual framework, this measurement system includes different versions to assess individuals </w:t>
      </w:r>
      <w:r>
        <w:rPr>
          <w:shd w:val="clear" w:color="auto" w:fill="FFFFFF"/>
        </w:rPr>
        <w:t>at</w:t>
      </w:r>
      <w:r w:rsidRPr="00556EBE">
        <w:rPr>
          <w:shd w:val="clear" w:color="auto" w:fill="FFFFFF"/>
        </w:rPr>
        <w:t xml:space="preserve"> different age</w:t>
      </w:r>
      <w:r>
        <w:rPr>
          <w:shd w:val="clear" w:color="auto" w:fill="FFFFFF"/>
        </w:rPr>
        <w:t>s</w:t>
      </w:r>
      <w:r w:rsidRPr="00556EBE">
        <w:rPr>
          <w:shd w:val="clear" w:color="auto" w:fill="FFFFFF"/>
        </w:rPr>
        <w:t xml:space="preserve"> as early as infancy. Hence, children’s mastery motivation at different ages can be measured and compared based on the same theoretical construct. On the same landscape, the DMQ can also be used to investigate cross-age correlations and provide domain-specific stability of mastery motivation.</w:t>
      </w:r>
    </w:p>
    <w:p w:rsidR="00E41334" w:rsidRPr="00556EBE" w:rsidRDefault="00E41334" w:rsidP="00E41334">
      <w:pPr>
        <w:pStyle w:val="Sectiontitle1"/>
        <w:rPr>
          <w:shd w:val="clear" w:color="auto" w:fill="FFFFFF"/>
          <w:lang w:val="en-US"/>
        </w:rPr>
      </w:pPr>
      <w:r>
        <w:rPr>
          <w:shd w:val="clear" w:color="auto" w:fill="FFFFFF"/>
          <w:lang w:val="en-US"/>
        </w:rPr>
        <w:br w:type="page"/>
      </w:r>
      <w:r w:rsidRPr="00556EBE">
        <w:rPr>
          <w:shd w:val="clear" w:color="auto" w:fill="FFFFFF"/>
          <w:lang w:val="en-US"/>
        </w:rPr>
        <w:lastRenderedPageBreak/>
        <w:t>Stability of Mastery Motivation in Infancy and Early Childhood</w:t>
      </w:r>
    </w:p>
    <w:p w:rsidR="00E41334" w:rsidRPr="00556EBE" w:rsidRDefault="00E41334" w:rsidP="00E41334">
      <w:pPr>
        <w:pStyle w:val="Text"/>
        <w:rPr>
          <w:shd w:val="clear" w:color="auto" w:fill="FFFFFF"/>
        </w:rPr>
      </w:pPr>
      <w:r w:rsidRPr="00556EBE">
        <w:rPr>
          <w:shd w:val="clear" w:color="auto" w:fill="FFFFFF"/>
        </w:rPr>
        <w:t xml:space="preserve">Barrett and Morgan (1995) have divided the development of mastery motivation into three age ranges: birth to 9 months, 9 to 24 months, and 24 to 36 months. They found the characteristics of instrumental and expressive mastery behavior across the different age ranges transform rapidly as children grow. Moreover, individual differences </w:t>
      </w:r>
      <w:r>
        <w:rPr>
          <w:shd w:val="clear" w:color="auto" w:fill="FFFFFF"/>
        </w:rPr>
        <w:t>in</w:t>
      </w:r>
      <w:r w:rsidRPr="00556EBE">
        <w:rPr>
          <w:shd w:val="clear" w:color="auto" w:fill="FFFFFF"/>
        </w:rPr>
        <w:t xml:space="preserve"> mastery motivation have been documented as early as during the first year of life (Yarrow et al., 1983). Toddlers and preschoolers are also different in the way they face challenge and novelty; some rise to the challenge while others avoid challenge (Kelley &amp; Jennings, 2003; Smiley &amp; Dweck, 1994).</w:t>
      </w:r>
    </w:p>
    <w:p w:rsidR="00E41334" w:rsidRPr="00556EBE" w:rsidRDefault="00E41334" w:rsidP="00E41334">
      <w:pPr>
        <w:pStyle w:val="Text"/>
        <w:rPr>
          <w:shd w:val="clear" w:color="auto" w:fill="FFFFFF"/>
        </w:rPr>
      </w:pPr>
      <w:r w:rsidRPr="00556EBE">
        <w:rPr>
          <w:shd w:val="clear" w:color="auto" w:fill="FFFFFF"/>
        </w:rPr>
        <w:t>Although early individual differences of mastery motivation in infancy and early childhood have been well documented, there are theoretical and empirical issues yet to be resolved in understanding the stability of individual differences of mastery motivation. For example, Shiner (2000) suggested that mastery motivation is a personality trait and therefore is generally stable. By contrast, other researchers have emphasized the effect of environmental stimulation and the interaction between child’s characteristics and experience, which, in turn, make the development of mastery motivation somewhat malleable and flexible (Busch-Rossnagel, Knauf-Jensen, &amp; DesRosiers, 1995; Deci &amp; Ryan, 1985).</w:t>
      </w:r>
    </w:p>
    <w:p w:rsidR="00E41334" w:rsidRPr="00556EBE" w:rsidRDefault="00E41334" w:rsidP="00E41334">
      <w:pPr>
        <w:pStyle w:val="Text"/>
        <w:rPr>
          <w:shd w:val="clear" w:color="auto" w:fill="FFFFFF"/>
        </w:rPr>
      </w:pPr>
      <w:r w:rsidRPr="00556EBE">
        <w:rPr>
          <w:shd w:val="clear" w:color="auto" w:fill="FFFFFF"/>
        </w:rPr>
        <w:t>Prior empirical findings could not reject either side of the above notions. For example, although different tasks across the two assessment points were used to measure mastery motivation, significant</w:t>
      </w:r>
      <w:r>
        <w:rPr>
          <w:shd w:val="clear" w:color="auto" w:fill="FFFFFF"/>
        </w:rPr>
        <w:t xml:space="preserve"> but modest</w:t>
      </w:r>
      <w:r w:rsidRPr="00556EBE">
        <w:rPr>
          <w:shd w:val="clear" w:color="auto" w:fill="FFFFFF"/>
        </w:rPr>
        <w:t xml:space="preserve"> stability was found from six to twelve months (Yarrow et al., 1983) and from six to fourteen months (Banerjee &amp; Tamis-LeMonda, 2007). Moderate stability of children’s persistence in structured tasks was also found from one year to 3.5 years of age (Jennings, Yarrow, &amp; Martin, 1984). Both high and low stability of mastery motivation across one year were shown in Jennings et al. (1988) depending on whether it was assessed through structured tasks or free play sessions</w:t>
      </w:r>
      <w:r>
        <w:rPr>
          <w:shd w:val="clear" w:color="auto" w:fill="FFFFFF"/>
        </w:rPr>
        <w:t>,</w:t>
      </w:r>
      <w:r w:rsidRPr="00556EBE">
        <w:rPr>
          <w:shd w:val="clear" w:color="auto" w:fill="FFFFFF"/>
        </w:rPr>
        <w:t xml:space="preserve"> respectively. Similarly, although task persistence was stable across six years for girls but not boys, maternal report from the DMQ was not stable over the same period (Gilmore, Cuskelly, &amp; Purdie, 2003). Conversely, other studies documented moderate stability using the DMQ to measure different aspects of mastery motivation over </w:t>
      </w:r>
      <w:r>
        <w:rPr>
          <w:shd w:val="clear" w:color="auto" w:fill="FFFFFF"/>
        </w:rPr>
        <w:t>a</w:t>
      </w:r>
      <w:r w:rsidRPr="00556EBE">
        <w:rPr>
          <w:shd w:val="clear" w:color="auto" w:fill="FFFFFF"/>
        </w:rPr>
        <w:t xml:space="preserve"> period of one year from two to three years of age (Wang, Hwang, Liao, Chen, &amp; Hsieh, 2011) and </w:t>
      </w:r>
      <w:r>
        <w:rPr>
          <w:shd w:val="clear" w:color="auto" w:fill="FFFFFF"/>
        </w:rPr>
        <w:t>a</w:t>
      </w:r>
      <w:r w:rsidRPr="00556EBE">
        <w:rPr>
          <w:shd w:val="clear" w:color="auto" w:fill="FFFFFF"/>
        </w:rPr>
        <w:t xml:space="preserve"> period of 21 months from 1.5 years to 3.25 years of age (Wang, Morgan, &amp; Biringen, 2014).</w:t>
      </w:r>
    </w:p>
    <w:p w:rsidR="00E41334" w:rsidRPr="00556EBE" w:rsidRDefault="00E41334" w:rsidP="00E41334">
      <w:pPr>
        <w:pStyle w:val="Text"/>
        <w:rPr>
          <w:shd w:val="clear" w:color="auto" w:fill="FFFFFF"/>
        </w:rPr>
      </w:pPr>
      <w:r w:rsidRPr="00556EBE">
        <w:rPr>
          <w:shd w:val="clear" w:color="auto" w:fill="FFFFFF"/>
        </w:rPr>
        <w:t xml:space="preserve">It should be noted that the stability of mastery may be domain specific. As shown in Wang et al. (2011), the </w:t>
      </w:r>
      <w:r>
        <w:rPr>
          <w:shd w:val="clear" w:color="auto" w:fill="FFFFFF"/>
        </w:rPr>
        <w:t xml:space="preserve">DMQ </w:t>
      </w:r>
      <w:r w:rsidRPr="00556EBE">
        <w:rPr>
          <w:shd w:val="clear" w:color="auto" w:fill="FFFFFF"/>
        </w:rPr>
        <w:t xml:space="preserve">stabilities of total persistence (i.e., the aggregated score of the four domains in the instrumental aspect) and persistence in object-oriented tasks and in gross-motor tasks were higher than that of social persistence and of indicators in the expressive aspect of mastery motivation. Maslin-Cole, Bretherton and Morgan (1993) conducted a longitudinal study of 18-, 24-, and 39-month-old children and also found domain specific stability of </w:t>
      </w:r>
      <w:r>
        <w:rPr>
          <w:shd w:val="clear" w:color="auto" w:fill="FFFFFF"/>
        </w:rPr>
        <w:t xml:space="preserve">the </w:t>
      </w:r>
      <w:r w:rsidRPr="00556EBE">
        <w:rPr>
          <w:shd w:val="clear" w:color="auto" w:fill="FFFFFF"/>
        </w:rPr>
        <w:t xml:space="preserve">DMQ; specifically, although all of the </w:t>
      </w:r>
      <w:r>
        <w:rPr>
          <w:shd w:val="clear" w:color="auto" w:fill="FFFFFF"/>
        </w:rPr>
        <w:t>DMQ</w:t>
      </w:r>
      <w:r w:rsidRPr="00556EBE">
        <w:rPr>
          <w:shd w:val="clear" w:color="auto" w:fill="FFFFFF"/>
        </w:rPr>
        <w:t xml:space="preserve"> </w:t>
      </w:r>
      <w:r w:rsidRPr="00556EBE">
        <w:rPr>
          <w:shd w:val="clear" w:color="auto" w:fill="FFFFFF"/>
        </w:rPr>
        <w:lastRenderedPageBreak/>
        <w:t>subscales had cross-time stability, persistence in object-oriented tasks and mastery pleasure demonstrated higher stability than persistence in gross motor tasks and social persistence.</w:t>
      </w:r>
    </w:p>
    <w:p w:rsidR="00E41334" w:rsidRPr="00556EBE" w:rsidRDefault="00E41334" w:rsidP="00E41334">
      <w:pPr>
        <w:pStyle w:val="Text"/>
        <w:rPr>
          <w:shd w:val="clear" w:color="auto" w:fill="FFFFFF"/>
        </w:rPr>
      </w:pPr>
      <w:r w:rsidRPr="00556EBE">
        <w:rPr>
          <w:shd w:val="clear" w:color="auto" w:fill="FFFFFF"/>
        </w:rPr>
        <w:t xml:space="preserve">In summary, prior research has provided fruitful results about the stability of mastery motivation during infancy and early childhood. However, the consistency of stability of mastery motivation across different periods in early childhood can only be speculated about based on different studies that have used different measurements and different subjects with different ages, and </w:t>
      </w:r>
      <w:r>
        <w:rPr>
          <w:shd w:val="clear" w:color="auto" w:fill="FFFFFF"/>
        </w:rPr>
        <w:t xml:space="preserve">were </w:t>
      </w:r>
      <w:r w:rsidRPr="00556EBE">
        <w:rPr>
          <w:shd w:val="clear" w:color="auto" w:fill="FFFFFF"/>
        </w:rPr>
        <w:t>measured at different intervals. No empirical study has yet systematically compared the stability of mastery motivation in different periods of infancy and early childhood using the same group of children at different ages and with the same length of time between measurements.</w:t>
      </w:r>
    </w:p>
    <w:p w:rsidR="00E41334" w:rsidRPr="00556EBE" w:rsidRDefault="00E41334" w:rsidP="00E41334">
      <w:pPr>
        <w:pStyle w:val="Sectiontitle1"/>
        <w:rPr>
          <w:shd w:val="clear" w:color="auto" w:fill="FFFFFF"/>
          <w:lang w:val="en-US"/>
        </w:rPr>
      </w:pPr>
      <w:r w:rsidRPr="00556EBE">
        <w:rPr>
          <w:shd w:val="clear" w:color="auto" w:fill="FFFFFF"/>
          <w:lang w:val="en-US"/>
        </w:rPr>
        <w:t>The Association between Ma</w:t>
      </w:r>
      <w:r>
        <w:rPr>
          <w:shd w:val="clear" w:color="auto" w:fill="FFFFFF"/>
          <w:lang w:val="en-US"/>
        </w:rPr>
        <w:t>stery Motivation and Competence</w:t>
      </w:r>
    </w:p>
    <w:p w:rsidR="00E41334" w:rsidRPr="00556EBE" w:rsidRDefault="00E41334" w:rsidP="00E41334">
      <w:pPr>
        <w:pStyle w:val="Text"/>
        <w:rPr>
          <w:shd w:val="clear" w:color="auto" w:fill="FFFFFF"/>
        </w:rPr>
      </w:pPr>
      <w:r w:rsidRPr="00556EBE">
        <w:rPr>
          <w:shd w:val="clear" w:color="auto" w:fill="FFFFFF"/>
        </w:rPr>
        <w:t xml:space="preserve">The connection of mastery motivation and later competence has been suggested in different research. For example, White (1959) suggested that mastery motivation provides children with the psychological force to improve competence and self-efficacy. Yarrow et al. (1983) proposed that motivation and competence are interrelated, especially in early life. However, the empirical correlation between mastery motivation and competence may be affected by how the two variables are measured. In terms of the measurements for competence, one option is to use standardized developmental or intelligence tests (Messer et al., 1986; Yarrow et al., 1983). Alternatively, competence has been conceptualized as adaptation in daily life (Niccols et al., 2003). Another option for competence measurement is </w:t>
      </w:r>
      <w:r>
        <w:rPr>
          <w:shd w:val="clear" w:color="auto" w:fill="FFFFFF"/>
        </w:rPr>
        <w:t>to ask</w:t>
      </w:r>
      <w:r w:rsidRPr="00556EBE">
        <w:rPr>
          <w:shd w:val="clear" w:color="auto" w:fill="FFFFFF"/>
        </w:rPr>
        <w:t xml:space="preserve"> caregivers to rate their child’s ability in daily activities, which is the indicator of general competence in </w:t>
      </w:r>
      <w:r>
        <w:rPr>
          <w:shd w:val="clear" w:color="auto" w:fill="FFFFFF"/>
        </w:rPr>
        <w:t xml:space="preserve">the </w:t>
      </w:r>
      <w:r w:rsidRPr="00556EBE">
        <w:rPr>
          <w:shd w:val="clear" w:color="auto" w:fill="FFFFFF"/>
        </w:rPr>
        <w:t xml:space="preserve">DMQ (Morgan et al., 2009). In terms of measurements </w:t>
      </w:r>
      <w:r>
        <w:rPr>
          <w:shd w:val="clear" w:color="auto" w:fill="FFFFFF"/>
        </w:rPr>
        <w:t>o</w:t>
      </w:r>
      <w:r w:rsidRPr="00556EBE">
        <w:rPr>
          <w:shd w:val="clear" w:color="auto" w:fill="FFFFFF"/>
        </w:rPr>
        <w:t>f mastery motivation, various studies (Gilmore &amp; Cuskelly, 2009; Yarrow et al., 1983) indicated that persistence ha</w:t>
      </w:r>
      <w:r>
        <w:rPr>
          <w:shd w:val="clear" w:color="auto" w:fill="FFFFFF"/>
        </w:rPr>
        <w:t>s</w:t>
      </w:r>
      <w:r w:rsidRPr="00556EBE">
        <w:rPr>
          <w:shd w:val="clear" w:color="auto" w:fill="FFFFFF"/>
        </w:rPr>
        <w:t xml:space="preserve"> a more direct impact on competence than </w:t>
      </w:r>
      <w:r>
        <w:rPr>
          <w:shd w:val="clear" w:color="auto" w:fill="FFFFFF"/>
        </w:rPr>
        <w:t xml:space="preserve">does </w:t>
      </w:r>
      <w:r w:rsidRPr="00556EBE">
        <w:rPr>
          <w:shd w:val="clear" w:color="auto" w:fill="FFFFFF"/>
        </w:rPr>
        <w:t>the expressive aspect of mastery motivation.</w:t>
      </w:r>
    </w:p>
    <w:p w:rsidR="00E41334" w:rsidRPr="00556EBE" w:rsidRDefault="00E41334" w:rsidP="00E41334">
      <w:pPr>
        <w:pStyle w:val="Text"/>
        <w:rPr>
          <w:shd w:val="clear" w:color="auto" w:fill="FFFFFF"/>
        </w:rPr>
      </w:pPr>
      <w:r w:rsidRPr="00556EBE">
        <w:rPr>
          <w:shd w:val="clear" w:color="auto" w:fill="FFFFFF"/>
        </w:rPr>
        <w:t xml:space="preserve">Another factor that may affect the empirical correlation between mastery motivation and competence is the age when children’s mastery motivation is assessed. </w:t>
      </w:r>
      <w:r w:rsidRPr="00556EBE">
        <w:rPr>
          <w:rFonts w:eastAsia="PMingLiU"/>
          <w:shd w:val="clear" w:color="auto" w:fill="FFFFFF"/>
          <w:lang w:eastAsia="zh-TW"/>
        </w:rPr>
        <w:t>In general</w:t>
      </w:r>
      <w:r w:rsidRPr="00556EBE">
        <w:rPr>
          <w:shd w:val="clear" w:color="auto" w:fill="FFFFFF"/>
        </w:rPr>
        <w:t xml:space="preserve">, the relation between mastery motivation and cognitive functioning seems to weaken as </w:t>
      </w:r>
      <w:r>
        <w:rPr>
          <w:shd w:val="clear" w:color="auto" w:fill="FFFFFF"/>
        </w:rPr>
        <w:t>infants</w:t>
      </w:r>
      <w:r w:rsidRPr="00556EBE">
        <w:rPr>
          <w:shd w:val="clear" w:color="auto" w:fill="FFFFFF"/>
        </w:rPr>
        <w:t xml:space="preserve"> get older (Morgan, MacTurk, &amp; Hrncir, 1995). For example, persistence in mastering tasks shown by six-month-olds </w:t>
      </w:r>
      <w:r>
        <w:rPr>
          <w:shd w:val="clear" w:color="auto" w:fill="FFFFFF"/>
        </w:rPr>
        <w:t xml:space="preserve">was </w:t>
      </w:r>
      <w:r w:rsidRPr="00556EBE">
        <w:rPr>
          <w:shd w:val="clear" w:color="auto" w:fill="FFFFFF"/>
        </w:rPr>
        <w:t xml:space="preserve">significantly correlated with cognitive level assessed by the Bayley Mental Development Index at 12 months of age (Yarrow et al., 1983). Moreover, persistence, one of the common indicators of mastery motivation, assessed at 6 months of age </w:t>
      </w:r>
      <w:r>
        <w:rPr>
          <w:shd w:val="clear" w:color="auto" w:fill="FFFFFF"/>
        </w:rPr>
        <w:t xml:space="preserve">was </w:t>
      </w:r>
      <w:r w:rsidRPr="00556EBE">
        <w:rPr>
          <w:shd w:val="clear" w:color="auto" w:fill="FFFFFF"/>
        </w:rPr>
        <w:t>significantly correlated with children’s cognitive level at 14 months (Banerjee &amp; Tamis-LeMonda, 2007). However, mastery motivation measured beyond infancy seem</w:t>
      </w:r>
      <w:r>
        <w:rPr>
          <w:shd w:val="clear" w:color="auto" w:fill="FFFFFF"/>
        </w:rPr>
        <w:t>ed</w:t>
      </w:r>
      <w:r w:rsidRPr="00556EBE">
        <w:rPr>
          <w:shd w:val="clear" w:color="auto" w:fill="FFFFFF"/>
        </w:rPr>
        <w:t xml:space="preserve"> </w:t>
      </w:r>
      <w:r>
        <w:rPr>
          <w:shd w:val="clear" w:color="auto" w:fill="FFFFFF"/>
        </w:rPr>
        <w:t xml:space="preserve">to be not </w:t>
      </w:r>
      <w:r w:rsidRPr="00556EBE">
        <w:rPr>
          <w:shd w:val="clear" w:color="auto" w:fill="FFFFFF"/>
        </w:rPr>
        <w:t>a</w:t>
      </w:r>
      <w:r>
        <w:rPr>
          <w:shd w:val="clear" w:color="auto" w:fill="FFFFFF"/>
        </w:rPr>
        <w:t>s</w:t>
      </w:r>
      <w:r w:rsidRPr="00556EBE">
        <w:rPr>
          <w:shd w:val="clear" w:color="auto" w:fill="FFFFFF"/>
        </w:rPr>
        <w:t xml:space="preserve"> strong</w:t>
      </w:r>
      <w:r>
        <w:rPr>
          <w:shd w:val="clear" w:color="auto" w:fill="FFFFFF"/>
        </w:rPr>
        <w:t>ly correlated with</w:t>
      </w:r>
      <w:r w:rsidRPr="00556EBE">
        <w:rPr>
          <w:shd w:val="clear" w:color="auto" w:fill="FFFFFF"/>
        </w:rPr>
        <w:t xml:space="preserve"> later cognitive competence; for example, Redding, Morgan and Harmon (1988) indicated mastery motivation assessed at 24 and 36 months was not significantly correlated with concurrent cognitive ability.</w:t>
      </w:r>
    </w:p>
    <w:p w:rsidR="00E41334" w:rsidRPr="001020C8" w:rsidRDefault="00E41334" w:rsidP="00E41334">
      <w:pPr>
        <w:pStyle w:val="Text"/>
        <w:rPr>
          <w:shd w:val="clear" w:color="auto" w:fill="FFFFFF"/>
        </w:rPr>
      </w:pPr>
      <w:r w:rsidRPr="00556EBE">
        <w:rPr>
          <w:shd w:val="clear" w:color="auto" w:fill="FFFFFF"/>
        </w:rPr>
        <w:lastRenderedPageBreak/>
        <w:t xml:space="preserve">Furthermore, the empirical correlation between mastery motivation and later competence may also depend on the time interval between the two variables </w:t>
      </w:r>
      <w:r w:rsidRPr="003B5039">
        <w:rPr>
          <w:rFonts w:eastAsia="PMingLiU" w:hint="eastAsia"/>
          <w:shd w:val="clear" w:color="auto" w:fill="FFFFFF"/>
          <w:lang w:eastAsia="zh-TW"/>
        </w:rPr>
        <w:t xml:space="preserve">that </w:t>
      </w:r>
      <w:r w:rsidRPr="00556EBE">
        <w:rPr>
          <w:shd w:val="clear" w:color="auto" w:fill="FFFFFF"/>
        </w:rPr>
        <w:t xml:space="preserve">are measured. Prior studies mostly examined the relation between mastery motivation and competence by means of short-term longitudinal design, which involved two waves of data collection with mastery motivation measured at the first wave and competence at the second wave. For example, both Messer et al. (1986) and Yarrow et al. (1983) assessed children ranging in age from infants at six months to toddlerhood. Gilmore and Cuskelly (2009) tested children with Down syndrome from early childhood to early adolescence. The above results are not easily comparable since the time intervals were different. Moreover, even when the measurement tool and the time intervals are similar, results from different groups of children may not be comparable </w:t>
      </w:r>
      <w:r>
        <w:rPr>
          <w:shd w:val="clear" w:color="auto" w:fill="FFFFFF"/>
        </w:rPr>
        <w:t>so it will be hard to interpret</w:t>
      </w:r>
      <w:r w:rsidRPr="00556EBE">
        <w:t xml:space="preserve"> the variation </w:t>
      </w:r>
      <w:r w:rsidRPr="00556EBE">
        <w:rPr>
          <w:shd w:val="clear" w:color="auto" w:fill="FFFFFF"/>
        </w:rPr>
        <w:t>of the predictability of mastery motivation assessed at different ages during infancy and early childhood.</w:t>
      </w:r>
    </w:p>
    <w:p w:rsidR="00E41334" w:rsidRPr="00556EBE" w:rsidRDefault="00E41334" w:rsidP="00E41334">
      <w:pPr>
        <w:pStyle w:val="Sectiontitle1"/>
        <w:rPr>
          <w:shd w:val="clear" w:color="auto" w:fill="FFFFFF"/>
          <w:lang w:val="en-US"/>
        </w:rPr>
      </w:pPr>
      <w:r w:rsidRPr="00556EBE">
        <w:rPr>
          <w:shd w:val="clear" w:color="auto" w:fill="FFFFFF"/>
          <w:lang w:val="en-US"/>
        </w:rPr>
        <w:t>Goal of This Study</w:t>
      </w:r>
    </w:p>
    <w:p w:rsidR="00E41334" w:rsidRPr="00556EBE" w:rsidRDefault="00E41334" w:rsidP="00E41334">
      <w:pPr>
        <w:pStyle w:val="Text"/>
        <w:rPr>
          <w:shd w:val="clear" w:color="auto" w:fill="FFFFFF"/>
        </w:rPr>
      </w:pPr>
      <w:r w:rsidRPr="00556EBE">
        <w:rPr>
          <w:shd w:val="clear" w:color="auto" w:fill="FFFFFF"/>
        </w:rPr>
        <w:t xml:space="preserve">The present study applied a longitudinal design to examine both the stability </w:t>
      </w:r>
      <w:r>
        <w:rPr>
          <w:shd w:val="clear" w:color="auto" w:fill="FFFFFF"/>
        </w:rPr>
        <w:t xml:space="preserve">of mastery motivation </w:t>
      </w:r>
      <w:r w:rsidRPr="00556EBE">
        <w:rPr>
          <w:shd w:val="clear" w:color="auto" w:fill="FFFFFF"/>
        </w:rPr>
        <w:t xml:space="preserve">and </w:t>
      </w:r>
      <w:r>
        <w:rPr>
          <w:shd w:val="clear" w:color="auto" w:fill="FFFFFF"/>
        </w:rPr>
        <w:t>how well</w:t>
      </w:r>
      <w:r w:rsidRPr="00556EBE">
        <w:rPr>
          <w:shd w:val="clear" w:color="auto" w:fill="FFFFFF"/>
        </w:rPr>
        <w:t xml:space="preserve"> mastery motivation </w:t>
      </w:r>
      <w:r>
        <w:rPr>
          <w:shd w:val="clear" w:color="auto" w:fill="FFFFFF"/>
        </w:rPr>
        <w:t>predicts</w:t>
      </w:r>
      <w:r w:rsidRPr="00556EBE">
        <w:rPr>
          <w:shd w:val="clear" w:color="auto" w:fill="FFFFFF"/>
        </w:rPr>
        <w:t xml:space="preserve"> competence in early life. Goal-directed activities emerge around nine to ten months of age correspondent with infants entering the cognitive stage of coordination of secondary circular reaction (Piaget, 1962)</w:t>
      </w:r>
      <w:r>
        <w:rPr>
          <w:shd w:val="clear" w:color="auto" w:fill="FFFFFF"/>
        </w:rPr>
        <w:t>,</w:t>
      </w:r>
      <w:r w:rsidRPr="00556EBE">
        <w:rPr>
          <w:shd w:val="clear" w:color="auto" w:fill="FFFFFF"/>
        </w:rPr>
        <w:t xml:space="preserve"> </w:t>
      </w:r>
      <w:r>
        <w:rPr>
          <w:shd w:val="clear" w:color="auto" w:fill="FFFFFF"/>
        </w:rPr>
        <w:t>which</w:t>
      </w:r>
      <w:r w:rsidRPr="00556EBE">
        <w:rPr>
          <w:shd w:val="clear" w:color="auto" w:fill="FFFFFF"/>
        </w:rPr>
        <w:t xml:space="preserve"> makes it easier for caregivers to detect infant intention to master the environment. Therefore, this study collected mothers’ rating on the DMQ starting when children were ten months of age. When infants enter toddlerhood, the manifestation of mastery motivation may transform due to both maturation and environmental influence</w:t>
      </w:r>
      <w:r>
        <w:rPr>
          <w:shd w:val="clear" w:color="auto" w:fill="FFFFFF"/>
        </w:rPr>
        <w:t>s</w:t>
      </w:r>
      <w:r w:rsidRPr="00556EBE">
        <w:rPr>
          <w:shd w:val="clear" w:color="auto" w:fill="FFFFFF"/>
        </w:rPr>
        <w:t xml:space="preserve">, which may affect the stability and the power of the predictability of mastery motivation. Thus, the period from infancy to preschool provides an important window for understanding variation </w:t>
      </w:r>
      <w:r>
        <w:rPr>
          <w:shd w:val="clear" w:color="auto" w:fill="FFFFFF"/>
        </w:rPr>
        <w:t>in</w:t>
      </w:r>
      <w:r w:rsidRPr="00556EBE">
        <w:rPr>
          <w:shd w:val="clear" w:color="auto" w:fill="FFFFFF"/>
        </w:rPr>
        <w:t xml:space="preserve"> the stability of mastery motivation and its association with competence. Consequently, this study collected five waves of maternal report of children’s mastery motivation and general competence at 10 months</w:t>
      </w:r>
      <w:r>
        <w:rPr>
          <w:shd w:val="clear" w:color="auto" w:fill="FFFFFF"/>
        </w:rPr>
        <w:t>,</w:t>
      </w:r>
      <w:r w:rsidRPr="00556EBE">
        <w:rPr>
          <w:shd w:val="clear" w:color="auto" w:fill="FFFFFF"/>
        </w:rPr>
        <w:t xml:space="preserve"> 21 months, 26 months, 37 months, and 53 months of age. Three sets of age range</w:t>
      </w:r>
      <w:r>
        <w:rPr>
          <w:shd w:val="clear" w:color="auto" w:fill="FFFFFF"/>
        </w:rPr>
        <w:t>s</w:t>
      </w:r>
      <w:r w:rsidRPr="00556EBE">
        <w:rPr>
          <w:shd w:val="clear" w:color="auto" w:fill="FFFFFF"/>
        </w:rPr>
        <w:t xml:space="preserve"> with the same interval of 16 months</w:t>
      </w:r>
      <w:r w:rsidRPr="008F4A6B">
        <w:rPr>
          <w:shd w:val="clear" w:color="auto" w:fill="FFFFFF"/>
        </w:rPr>
        <w:t xml:space="preserve"> </w:t>
      </w:r>
      <w:r>
        <w:rPr>
          <w:shd w:val="clear" w:color="auto" w:fill="FFFFFF"/>
        </w:rPr>
        <w:t>were selected for analyses;</w:t>
      </w:r>
      <w:r w:rsidRPr="00556EBE">
        <w:rPr>
          <w:shd w:val="clear" w:color="auto" w:fill="FFFFFF"/>
        </w:rPr>
        <w:t xml:space="preserve"> specifically, the age range</w:t>
      </w:r>
      <w:r>
        <w:rPr>
          <w:shd w:val="clear" w:color="auto" w:fill="FFFFFF"/>
        </w:rPr>
        <w:t>s</w:t>
      </w:r>
      <w:r w:rsidRPr="00556EBE">
        <w:rPr>
          <w:shd w:val="clear" w:color="auto" w:fill="FFFFFF"/>
        </w:rPr>
        <w:t xml:space="preserve"> of 10 to 26 months, 21 to 37 months, and 37 to 53 months. The stability and predictability from the first </w:t>
      </w:r>
      <w:r>
        <w:rPr>
          <w:shd w:val="clear" w:color="auto" w:fill="FFFFFF"/>
        </w:rPr>
        <w:t>measurement</w:t>
      </w:r>
      <w:r w:rsidRPr="00556EBE">
        <w:rPr>
          <w:shd w:val="clear" w:color="auto" w:fill="FFFFFF"/>
        </w:rPr>
        <w:t xml:space="preserve"> to the last (i.e., </w:t>
      </w:r>
      <w:r>
        <w:rPr>
          <w:shd w:val="clear" w:color="auto" w:fill="FFFFFF"/>
        </w:rPr>
        <w:t>from</w:t>
      </w:r>
      <w:r w:rsidRPr="00556EBE">
        <w:rPr>
          <w:shd w:val="clear" w:color="auto" w:fill="FFFFFF"/>
        </w:rPr>
        <w:t xml:space="preserve"> 10 to 53 months) were also analyzed</w:t>
      </w:r>
      <w:r>
        <w:rPr>
          <w:shd w:val="clear" w:color="auto" w:fill="FFFFFF"/>
        </w:rPr>
        <w:t>.</w:t>
      </w:r>
    </w:p>
    <w:p w:rsidR="00E41334" w:rsidRPr="00556EBE" w:rsidRDefault="00E41334" w:rsidP="00E41334">
      <w:pPr>
        <w:pStyle w:val="Text"/>
        <w:rPr>
          <w:shd w:val="clear" w:color="auto" w:fill="FFFFFF"/>
        </w:rPr>
      </w:pPr>
      <w:r w:rsidRPr="00556EBE">
        <w:rPr>
          <w:shd w:val="clear" w:color="auto" w:fill="FFFFFF"/>
        </w:rPr>
        <w:t xml:space="preserve">For the analysis of stability, cross-wave correlations of each of the six domains in </w:t>
      </w:r>
      <w:r>
        <w:rPr>
          <w:shd w:val="clear" w:color="auto" w:fill="FFFFFF"/>
        </w:rPr>
        <w:t xml:space="preserve">the </w:t>
      </w:r>
      <w:r w:rsidRPr="00556EBE">
        <w:rPr>
          <w:shd w:val="clear" w:color="auto" w:fill="FFFFFF"/>
        </w:rPr>
        <w:t xml:space="preserve">DMQ and general competence were examined. Based on Barrett and Morgan’s (1995) age range of the three </w:t>
      </w:r>
      <w:r>
        <w:rPr>
          <w:shd w:val="clear" w:color="auto" w:fill="FFFFFF"/>
        </w:rPr>
        <w:t xml:space="preserve">early </w:t>
      </w:r>
      <w:r w:rsidRPr="00556EBE">
        <w:rPr>
          <w:shd w:val="clear" w:color="auto" w:fill="FFFFFF"/>
        </w:rPr>
        <w:t xml:space="preserve">phases of mastery motivation, this study hypothesized that the age range of 21 months to 37 months may reveal the lowest stability among the three 16-month intervals, since the first and second assessment was conducted at the beginning of the second and beyond the third phase. On the other hand, each of the other two 16-month intervals </w:t>
      </w:r>
      <w:r>
        <w:rPr>
          <w:shd w:val="clear" w:color="auto" w:fill="FFFFFF"/>
        </w:rPr>
        <w:t>was</w:t>
      </w:r>
      <w:r w:rsidRPr="00556EBE">
        <w:rPr>
          <w:shd w:val="clear" w:color="auto" w:fill="FFFFFF"/>
        </w:rPr>
        <w:t xml:space="preserve"> located at adjacent phases proposed by Barrett and Morgan. Furthermore, based on findings from Wang et al. (2011) and Maslin-Cole et al. (1993), this study expected </w:t>
      </w:r>
      <w:r>
        <w:rPr>
          <w:shd w:val="clear" w:color="auto" w:fill="FFFFFF"/>
        </w:rPr>
        <w:t xml:space="preserve">that </w:t>
      </w:r>
      <w:r w:rsidRPr="00556EBE">
        <w:rPr>
          <w:shd w:val="clear" w:color="auto" w:fill="FFFFFF"/>
        </w:rPr>
        <w:t>stability of mastery motivation would most likely be revealed in the domain of object-oriented persistence</w:t>
      </w:r>
      <w:r>
        <w:rPr>
          <w:shd w:val="clear" w:color="auto" w:fill="FFFFFF"/>
        </w:rPr>
        <w:t>.</w:t>
      </w:r>
    </w:p>
    <w:p w:rsidR="00E41334" w:rsidRPr="00556EBE" w:rsidRDefault="00E41334" w:rsidP="00E41334">
      <w:pPr>
        <w:pStyle w:val="Text"/>
        <w:rPr>
          <w:shd w:val="clear" w:color="auto" w:fill="FFFFFF"/>
        </w:rPr>
      </w:pPr>
      <w:r w:rsidRPr="00556EBE">
        <w:rPr>
          <w:shd w:val="clear" w:color="auto" w:fill="FFFFFF"/>
        </w:rPr>
        <w:lastRenderedPageBreak/>
        <w:t xml:space="preserve">For the analysis of predictability, three DMQ indicators of total persistence, mastery pleasure and negative reactions to failure served as the predictors while general competence from the DMQ served as the outcome variable. Based on Morgan et al. (1995) and the other studies reviewed above, </w:t>
      </w:r>
      <w:r>
        <w:rPr>
          <w:shd w:val="clear" w:color="auto" w:fill="FFFFFF"/>
        </w:rPr>
        <w:t>we</w:t>
      </w:r>
      <w:r w:rsidRPr="00556EBE">
        <w:rPr>
          <w:shd w:val="clear" w:color="auto" w:fill="FFFFFF"/>
        </w:rPr>
        <w:t xml:space="preserve"> anticipated that the predictability shown in the youngest 16-month interval (i.e., from 10 months to 26 months) would be stronger than the predictability shown in the analysis for the older </w:t>
      </w:r>
      <w:r>
        <w:rPr>
          <w:shd w:val="clear" w:color="auto" w:fill="FFFFFF"/>
        </w:rPr>
        <w:t>intervals</w:t>
      </w:r>
      <w:r w:rsidRPr="00556EBE">
        <w:rPr>
          <w:shd w:val="clear" w:color="auto" w:fill="FFFFFF"/>
        </w:rPr>
        <w:t xml:space="preserve">. Additionally, according to Gilmore and Cuskelly (2009) and Yarrow et al. (1983), </w:t>
      </w:r>
      <w:r>
        <w:rPr>
          <w:shd w:val="clear" w:color="auto" w:fill="FFFFFF"/>
        </w:rPr>
        <w:t>we</w:t>
      </w:r>
      <w:r w:rsidRPr="00556EBE">
        <w:rPr>
          <w:shd w:val="clear" w:color="auto" w:fill="FFFFFF"/>
        </w:rPr>
        <w:t xml:space="preserve"> expected that, although the predictive effect would decline across domains when the subjects </w:t>
      </w:r>
      <w:r>
        <w:rPr>
          <w:shd w:val="clear" w:color="auto" w:fill="FFFFFF"/>
        </w:rPr>
        <w:t>got</w:t>
      </w:r>
      <w:r w:rsidRPr="00556EBE">
        <w:rPr>
          <w:shd w:val="clear" w:color="auto" w:fill="FFFFFF"/>
        </w:rPr>
        <w:t xml:space="preserve"> older, persistence would show higher predictability to general competence than the expressive aspects of mastery motivation.</w:t>
      </w:r>
    </w:p>
    <w:p w:rsidR="00E41334" w:rsidRPr="00556EBE" w:rsidRDefault="00E41334" w:rsidP="00E41334">
      <w:pPr>
        <w:pStyle w:val="Sectiontitle"/>
      </w:pPr>
      <w:r w:rsidRPr="00556EBE">
        <w:t>Method</w:t>
      </w:r>
    </w:p>
    <w:p w:rsidR="00E41334" w:rsidRPr="00556EBE" w:rsidRDefault="00E41334" w:rsidP="00E41334">
      <w:pPr>
        <w:pStyle w:val="Sectiontitle1"/>
      </w:pPr>
      <w:r w:rsidRPr="00556EBE">
        <w:t>Participants</w:t>
      </w:r>
    </w:p>
    <w:p w:rsidR="00E41334" w:rsidRPr="00556EBE" w:rsidRDefault="00E41334" w:rsidP="00E41334">
      <w:pPr>
        <w:pStyle w:val="Text"/>
      </w:pPr>
      <w:r w:rsidRPr="00556EBE">
        <w:t xml:space="preserve">A total of 53 children and their mothers residing in the Taipei area participated in this study. All of the recruited children were born full term, showed normal developmental milestones, and had no diagnosed medical conditions. The mothers filled out the age-appropriate version of DMQ when </w:t>
      </w:r>
      <w:r>
        <w:t>her</w:t>
      </w:r>
      <w:r w:rsidRPr="00556EBE">
        <w:t xml:space="preserve"> child w</w:t>
      </w:r>
      <w:r>
        <w:t xml:space="preserve">as </w:t>
      </w:r>
      <w:r w:rsidRPr="00556EBE">
        <w:t>at 10 months, 21 months, 26 months, 37 months, and 53 months</w:t>
      </w:r>
      <w:r>
        <w:t xml:space="preserve"> of age</w:t>
      </w:r>
      <w:r w:rsidRPr="00556EBE">
        <w:t xml:space="preserve">. Due to sample attrition, the number of participants included in </w:t>
      </w:r>
      <w:r w:rsidRPr="007E6DE2">
        <w:t>each set of 16-month intervals and the interval from</w:t>
      </w:r>
      <w:r>
        <w:t xml:space="preserve"> </w:t>
      </w:r>
      <w:r w:rsidRPr="007E6DE2">
        <w:t>10 to 53 months</w:t>
      </w:r>
      <w:r w:rsidRPr="00556EBE">
        <w:t xml:space="preserve"> was different. The specific sample size (range of </w:t>
      </w:r>
      <w:r w:rsidRPr="00001870">
        <w:rPr>
          <w:i/>
        </w:rPr>
        <w:t>n</w:t>
      </w:r>
      <w:r w:rsidRPr="00556EBE">
        <w:t xml:space="preserve"> = 40 to 53) for each set of interval</w:t>
      </w:r>
      <w:r w:rsidRPr="00556EBE">
        <w:rPr>
          <w:rFonts w:eastAsia="PMingLiU"/>
          <w:lang w:eastAsia="zh-TW"/>
        </w:rPr>
        <w:t>s</w:t>
      </w:r>
      <w:r w:rsidRPr="00556EBE">
        <w:t xml:space="preserve"> as well as </w:t>
      </w:r>
      <w:r w:rsidRPr="00556EBE">
        <w:rPr>
          <w:rFonts w:eastAsia="PMingLiU"/>
          <w:lang w:eastAsia="zh-TW"/>
        </w:rPr>
        <w:t xml:space="preserve">the </w:t>
      </w:r>
      <w:r w:rsidRPr="00556EBE">
        <w:t>demographic background</w:t>
      </w:r>
      <w:r w:rsidRPr="00556EBE">
        <w:rPr>
          <w:rFonts w:eastAsia="PMingLiU"/>
          <w:lang w:eastAsia="zh-TW"/>
        </w:rPr>
        <w:t>s</w:t>
      </w:r>
      <w:r w:rsidRPr="00556EBE">
        <w:t xml:space="preserve"> of the participants are shown in Table 1.</w:t>
      </w:r>
    </w:p>
    <w:p w:rsidR="00E41334" w:rsidRPr="00556EBE" w:rsidRDefault="00E41334" w:rsidP="00E41334">
      <w:pPr>
        <w:pStyle w:val="Sectiontitle1"/>
      </w:pPr>
      <w:r w:rsidRPr="00556EBE">
        <w:t>Measures</w:t>
      </w:r>
    </w:p>
    <w:p w:rsidR="00E41334" w:rsidRPr="00556EBE" w:rsidRDefault="00E41334" w:rsidP="00E41334">
      <w:pPr>
        <w:pStyle w:val="Sectiontitle2"/>
      </w:pPr>
      <w:r w:rsidRPr="00556EBE">
        <w:t xml:space="preserve">Dimensions of Mastery Questionnaire (DMQ-C 17 </w:t>
      </w:r>
      <w:r w:rsidRPr="00556EBE">
        <w:rPr>
          <w:rFonts w:eastAsia="PMingLiU"/>
          <w:lang w:eastAsia="zh-TW"/>
        </w:rPr>
        <w:t xml:space="preserve">Chinese </w:t>
      </w:r>
      <w:r w:rsidRPr="00556EBE">
        <w:t>infant version)</w:t>
      </w:r>
    </w:p>
    <w:p w:rsidR="00E41334" w:rsidRPr="00556EBE" w:rsidRDefault="00E41334" w:rsidP="00E41334">
      <w:pPr>
        <w:pStyle w:val="Text"/>
      </w:pPr>
      <w:r w:rsidRPr="00556EBE">
        <w:t>The DMQ-C infant version (</w:t>
      </w:r>
      <w:r>
        <w:t xml:space="preserve">Morgan, 1997; </w:t>
      </w:r>
      <w:r w:rsidRPr="00556EBE">
        <w:t>M</w:t>
      </w:r>
      <w:r w:rsidRPr="00556EBE">
        <w:rPr>
          <w:rFonts w:eastAsia="DFKai-SB"/>
        </w:rPr>
        <w:t>organ et al., 2009)</w:t>
      </w:r>
      <w:r w:rsidRPr="00556EBE">
        <w:t xml:space="preserve"> </w:t>
      </w:r>
      <w:r>
        <w:t>was used</w:t>
      </w:r>
      <w:r w:rsidRPr="00556EBE">
        <w:t xml:space="preserve"> to assess infant mastery motivation and general competence at wave 1. This </w:t>
      </w:r>
      <w:r w:rsidRPr="00556EBE">
        <w:rPr>
          <w:rFonts w:eastAsia="PMingLiU"/>
          <w:lang w:eastAsia="zh-TW"/>
        </w:rPr>
        <w:t>version</w:t>
      </w:r>
      <w:r w:rsidRPr="00556EBE">
        <w:t xml:space="preserve"> </w:t>
      </w:r>
      <w:r>
        <w:t>ha</w:t>
      </w:r>
      <w:r w:rsidRPr="00556EBE">
        <w:t xml:space="preserve">s 45 items across seven subscales, six of them assess different domains of mastery motivation, including four indicators for the instrumental aspect (object-oriented persistence, gross motor persistence, social persistence with adults, and social persistence with children), and two indicators for the expressive aspect (mastery pleasure, and negative reactions to failure). The seventh subscale measures general competence. </w:t>
      </w:r>
      <w:r w:rsidRPr="00556EBE">
        <w:rPr>
          <w:rFonts w:eastAsia="PMingLiU"/>
          <w:lang w:eastAsia="zh-TW"/>
        </w:rPr>
        <w:t>In addition to</w:t>
      </w:r>
      <w:r w:rsidRPr="00556EBE">
        <w:t xml:space="preserve"> the above seven indicators, total persistence </w:t>
      </w:r>
      <w:r>
        <w:t>wa</w:t>
      </w:r>
      <w:r w:rsidRPr="00556EBE">
        <w:t>s derived from the average of the four instrumental indicators. The scores were based on mothers’ ratings on a five-point Likert scale from one (not at all typical) to five (very typical).</w:t>
      </w:r>
    </w:p>
    <w:p w:rsidR="00E41334" w:rsidRPr="00556EBE" w:rsidRDefault="00E41334" w:rsidP="00E41334">
      <w:pPr>
        <w:pStyle w:val="Sectiontitle2"/>
      </w:pPr>
      <w:r w:rsidRPr="00556EBE">
        <w:t xml:space="preserve">Dimensions of Mastery Questionnaire (DMQ-C 17 </w:t>
      </w:r>
      <w:r w:rsidRPr="00556EBE">
        <w:rPr>
          <w:rFonts w:eastAsia="PMingLiU"/>
          <w:lang w:eastAsia="zh-TW"/>
        </w:rPr>
        <w:t xml:space="preserve">Chinese </w:t>
      </w:r>
      <w:r w:rsidRPr="00556EBE">
        <w:t>preschool-age version</w:t>
      </w:r>
      <w:r w:rsidRPr="00556EBE">
        <w:rPr>
          <w:rFonts w:eastAsia="DFKai-SB"/>
        </w:rPr>
        <w:t>)</w:t>
      </w:r>
    </w:p>
    <w:p w:rsidR="00E41334" w:rsidRPr="00556EBE" w:rsidRDefault="00E41334" w:rsidP="00E41334">
      <w:pPr>
        <w:pStyle w:val="Text"/>
      </w:pPr>
      <w:r w:rsidRPr="00556EBE">
        <w:t xml:space="preserve">The DMC-C preschool-age version </w:t>
      </w:r>
      <w:r>
        <w:t>wa</w:t>
      </w:r>
      <w:r w:rsidRPr="00556EBE">
        <w:t xml:space="preserve">s designed to assess children between 18 and 60 months of age. The subscales and the number of items in each subscale are similar to the infant version with </w:t>
      </w:r>
      <w:r>
        <w:t>several</w:t>
      </w:r>
      <w:r w:rsidRPr="00556EBE">
        <w:t xml:space="preserve"> items being different in content to reflect the distinctive characteristics and mastery activity of preschoolers. In addition, </w:t>
      </w:r>
      <w:r w:rsidRPr="00450E61">
        <w:t>five items</w:t>
      </w:r>
      <w:r w:rsidRPr="00556EBE">
        <w:t xml:space="preserve">, instead of </w:t>
      </w:r>
      <w:r w:rsidRPr="00556EBE">
        <w:lastRenderedPageBreak/>
        <w:t xml:space="preserve">three items in the infant version, </w:t>
      </w:r>
      <w:r>
        <w:t>were</w:t>
      </w:r>
      <w:r w:rsidRPr="00556EBE">
        <w:t xml:space="preserve"> included to assess preschoolers’ negative reactions to failure. In this study, </w:t>
      </w:r>
      <w:r w:rsidRPr="00556EBE">
        <w:rPr>
          <w:rFonts w:eastAsia="PMingLiU"/>
          <w:lang w:eastAsia="zh-TW"/>
        </w:rPr>
        <w:t xml:space="preserve">the </w:t>
      </w:r>
      <w:r>
        <w:rPr>
          <w:rFonts w:eastAsia="PMingLiU"/>
          <w:lang w:eastAsia="zh-TW"/>
        </w:rPr>
        <w:t xml:space="preserve">preschool version </w:t>
      </w:r>
      <w:r w:rsidRPr="00556EBE">
        <w:t>DMQ was given to mothers to report their child’s mastery motivation and general competence when their child w</w:t>
      </w:r>
      <w:r>
        <w:t>as</w:t>
      </w:r>
      <w:r w:rsidRPr="00556EBE">
        <w:t xml:space="preserve"> </w:t>
      </w:r>
      <w:r>
        <w:t>21 months to 53 months of age.</w:t>
      </w:r>
    </w:p>
    <w:p w:rsidR="00E41334" w:rsidRPr="00556EBE" w:rsidRDefault="00E41334" w:rsidP="00E41334">
      <w:pPr>
        <w:pStyle w:val="Sectiontitle1"/>
      </w:pPr>
      <w:r w:rsidRPr="00556EBE">
        <w:t>Procedure</w:t>
      </w:r>
    </w:p>
    <w:p w:rsidR="00E41334" w:rsidRPr="00556EBE" w:rsidRDefault="00E41334" w:rsidP="00E41334">
      <w:pPr>
        <w:pStyle w:val="Text"/>
      </w:pPr>
      <w:r w:rsidRPr="00556EBE">
        <w:t xml:space="preserve">Informed consent was obtained from all mothers in advance. When the children were </w:t>
      </w:r>
      <w:r>
        <w:t>10</w:t>
      </w:r>
      <w:r w:rsidRPr="00556EBE">
        <w:t xml:space="preserve"> months of age, child-mother dyads visited the laboratory where the children participated in a series of structured tasks and the mothers filled </w:t>
      </w:r>
      <w:r w:rsidRPr="00556EBE">
        <w:rPr>
          <w:rFonts w:eastAsia="PMingLiU"/>
          <w:lang w:eastAsia="zh-TW"/>
        </w:rPr>
        <w:t>out</w:t>
      </w:r>
      <w:r w:rsidRPr="00556EBE">
        <w:t xml:space="preserve"> the DMQ-C infant version. When the children were 21, 26, and 37 months of age, the DMQ-C preschool-age version was post-mailed to the mothers. When the children were 53 months of age, the mothers again filled </w:t>
      </w:r>
      <w:r w:rsidRPr="00556EBE">
        <w:rPr>
          <w:rFonts w:eastAsia="PMingLiU"/>
          <w:lang w:eastAsia="zh-TW"/>
        </w:rPr>
        <w:t>out</w:t>
      </w:r>
      <w:r w:rsidRPr="00556EBE">
        <w:t xml:space="preserve"> DMQ-C when the child-mothers dyads visited the laboratory to complete a series of structured tasks.</w:t>
      </w:r>
      <w:r>
        <w:t xml:space="preserve"> The task data are not reported in this paper, but were in Huang et al.</w:t>
      </w:r>
      <w:r w:rsidRPr="00FC27B3">
        <w:t xml:space="preserve"> (2009)</w:t>
      </w:r>
      <w:r>
        <w:t>.</w:t>
      </w:r>
    </w:p>
    <w:p w:rsidR="00E41334" w:rsidRPr="00556EBE" w:rsidRDefault="00E41334" w:rsidP="00E41334">
      <w:pPr>
        <w:pStyle w:val="Sectiontitle"/>
      </w:pPr>
      <w:r w:rsidRPr="00556EBE">
        <w:t>Results</w:t>
      </w:r>
    </w:p>
    <w:p w:rsidR="00E41334" w:rsidRDefault="00E41334" w:rsidP="00E41334">
      <w:pPr>
        <w:pStyle w:val="Text"/>
      </w:pPr>
      <w:r w:rsidRPr="00556EBE">
        <w:t xml:space="preserve">Descriptive statistics regarding the studied variables are presented in Table 1. There were no significant differences </w:t>
      </w:r>
      <w:r>
        <w:t>in</w:t>
      </w:r>
      <w:r w:rsidRPr="00556EBE">
        <w:t xml:space="preserve"> maternal educational levels </w:t>
      </w:r>
      <w:r>
        <w:t>or</w:t>
      </w:r>
      <w:r w:rsidRPr="00556EBE">
        <w:t xml:space="preserve"> the sex ratio of children among different sets of 16-month interval</w:t>
      </w:r>
      <w:r w:rsidRPr="00556EBE">
        <w:rPr>
          <w:rFonts w:eastAsia="PMingLiU"/>
          <w:lang w:eastAsia="zh-TW"/>
        </w:rPr>
        <w:t>s</w:t>
      </w:r>
      <w:r w:rsidRPr="00556EBE">
        <w:t xml:space="preserve"> and from 10 to 53 months of age. </w:t>
      </w:r>
      <w:r w:rsidRPr="00567B86">
        <w:t xml:space="preserve">Aside from girls displaying higher general competence than boys at age 53 months </w:t>
      </w:r>
      <w:r w:rsidRPr="001A2073">
        <w:t>(</w:t>
      </w:r>
      <w:r w:rsidRPr="00567B86">
        <w:rPr>
          <w:i/>
        </w:rPr>
        <w:t>t</w:t>
      </w:r>
      <w:r w:rsidRPr="00151579">
        <w:rPr>
          <w:rFonts w:eastAsia="PMingLiU" w:hint="eastAsia"/>
          <w:lang w:eastAsia="zh-TW"/>
        </w:rPr>
        <w:t xml:space="preserve">(39) </w:t>
      </w:r>
      <w:r w:rsidRPr="00567B86">
        <w:t>=</w:t>
      </w:r>
      <w:r>
        <w:t xml:space="preserve"> </w:t>
      </w:r>
      <w:r w:rsidRPr="00151579">
        <w:rPr>
          <w:rFonts w:eastAsia="PMingLiU" w:hint="eastAsia"/>
          <w:lang w:eastAsia="zh-TW"/>
        </w:rPr>
        <w:t xml:space="preserve">-3.22, </w:t>
      </w:r>
      <w:r w:rsidRPr="00151579">
        <w:rPr>
          <w:rFonts w:eastAsia="PMingLiU" w:hint="eastAsia"/>
          <w:i/>
          <w:lang w:eastAsia="zh-TW"/>
        </w:rPr>
        <w:t>p</w:t>
      </w:r>
      <w:r w:rsidRPr="00151579">
        <w:rPr>
          <w:rFonts w:eastAsia="PMingLiU" w:hint="eastAsia"/>
          <w:lang w:eastAsia="zh-TW"/>
        </w:rPr>
        <w:t xml:space="preserve"> = .003</w:t>
      </w:r>
      <w:r w:rsidRPr="00567B86">
        <w:t>),</w:t>
      </w:r>
      <w:r w:rsidRPr="00556EBE">
        <w:t xml:space="preserve"> no </w:t>
      </w:r>
      <w:r w:rsidRPr="00EA02CE">
        <w:rPr>
          <w:rFonts w:eastAsia="PMingLiU" w:hint="eastAsia"/>
          <w:lang w:eastAsia="zh-TW"/>
        </w:rPr>
        <w:t xml:space="preserve">other </w:t>
      </w:r>
      <w:r w:rsidRPr="00EA02CE">
        <w:rPr>
          <w:rFonts w:eastAsia="PMingLiU"/>
          <w:lang w:eastAsia="zh-TW"/>
        </w:rPr>
        <w:t>statistically</w:t>
      </w:r>
      <w:r w:rsidRPr="00EA02CE">
        <w:rPr>
          <w:rFonts w:eastAsia="PMingLiU" w:hint="eastAsia"/>
          <w:lang w:eastAsia="zh-TW"/>
        </w:rPr>
        <w:t xml:space="preserve"> significant </w:t>
      </w:r>
      <w:r w:rsidRPr="00556EBE">
        <w:t xml:space="preserve">gender difference was found </w:t>
      </w:r>
      <w:r w:rsidRPr="00EA02CE">
        <w:rPr>
          <w:rFonts w:eastAsia="PMingLiU" w:hint="eastAsia"/>
          <w:lang w:eastAsia="zh-TW"/>
        </w:rPr>
        <w:t xml:space="preserve">on </w:t>
      </w:r>
      <w:r w:rsidRPr="00556EBE">
        <w:t xml:space="preserve">the DMQ </w:t>
      </w:r>
      <w:r w:rsidRPr="00EA02CE">
        <w:rPr>
          <w:rFonts w:eastAsia="PMingLiU" w:hint="eastAsia"/>
          <w:lang w:eastAsia="zh-TW"/>
        </w:rPr>
        <w:t>subscales</w:t>
      </w:r>
      <w:r w:rsidRPr="00556EBE">
        <w:t>.</w:t>
      </w:r>
    </w:p>
    <w:p w:rsidR="00E41334" w:rsidRPr="00556EBE" w:rsidRDefault="00E41334" w:rsidP="00E41334">
      <w:pPr>
        <w:pStyle w:val="Sectiontitle1"/>
        <w:rPr>
          <w:lang w:val="en-US"/>
        </w:rPr>
      </w:pPr>
      <w:r w:rsidRPr="00556EBE">
        <w:rPr>
          <w:lang w:val="en-US"/>
        </w:rPr>
        <w:t xml:space="preserve">Stability of </w:t>
      </w:r>
      <w:r w:rsidRPr="00556EBE">
        <w:t>Mastery</w:t>
      </w:r>
      <w:r w:rsidRPr="00556EBE">
        <w:rPr>
          <w:lang w:val="en-US"/>
        </w:rPr>
        <w:t xml:space="preserve"> Motivation</w:t>
      </w:r>
    </w:p>
    <w:p w:rsidR="00E41334" w:rsidRPr="00556EBE" w:rsidRDefault="00E41334" w:rsidP="00E41334">
      <w:pPr>
        <w:pStyle w:val="Text"/>
      </w:pPr>
      <w:r w:rsidRPr="00556EBE">
        <w:t>The cross-wave correlation coefficients (i.e., stability) of each indicator of mastery motivation in each set of 16-month interval</w:t>
      </w:r>
      <w:r w:rsidRPr="00556EBE">
        <w:rPr>
          <w:rFonts w:eastAsia="PMingLiU"/>
          <w:lang w:eastAsia="zh-TW"/>
        </w:rPr>
        <w:t>s</w:t>
      </w:r>
      <w:r w:rsidRPr="00556EBE">
        <w:t xml:space="preserve"> (i.e., 10 to 26 months, 21 to 37 months, and 37 to 53 months) as well as in the </w:t>
      </w:r>
      <w:r>
        <w:t xml:space="preserve">interval from </w:t>
      </w:r>
      <w:r w:rsidRPr="00556EBE">
        <w:t>10 to 53 months of age are presented in Table 2. Across more than 3.5 years from 10 to 53 months of age, except for negative reactions to failure (</w:t>
      </w:r>
      <w:r w:rsidRPr="00556EBE">
        <w:rPr>
          <w:i/>
        </w:rPr>
        <w:t>r</w:t>
      </w:r>
      <w:r w:rsidRPr="00556EBE">
        <w:t xml:space="preserve"> = .25, </w:t>
      </w:r>
      <w:r w:rsidRPr="00556EBE">
        <w:rPr>
          <w:i/>
        </w:rPr>
        <w:t>ns</w:t>
      </w:r>
      <w:r w:rsidRPr="00556EBE">
        <w:t>), cross-wave correlations of the other domains were all significant (</w:t>
      </w:r>
      <w:r w:rsidRPr="00556EBE">
        <w:rPr>
          <w:i/>
        </w:rPr>
        <w:t>r</w:t>
      </w:r>
      <w:r w:rsidRPr="00556EBE">
        <w:t xml:space="preserve">s = .32~.61, </w:t>
      </w:r>
      <w:r w:rsidRPr="00556EBE">
        <w:rPr>
          <w:i/>
        </w:rPr>
        <w:t>p</w:t>
      </w:r>
      <w:r w:rsidRPr="00556EBE">
        <w:t xml:space="preserve">s &lt; .05). </w:t>
      </w:r>
    </w:p>
    <w:p w:rsidR="00E41334" w:rsidRPr="00FE1239" w:rsidRDefault="00E41334" w:rsidP="00E41334">
      <w:pPr>
        <w:pStyle w:val="Text"/>
      </w:pPr>
      <w:r w:rsidRPr="00556EBE">
        <w:t>Significant correlations were found in total persistence (</w:t>
      </w:r>
      <w:r w:rsidRPr="00556EBE">
        <w:rPr>
          <w:i/>
        </w:rPr>
        <w:t>r</w:t>
      </w:r>
      <w:r w:rsidRPr="00556EBE">
        <w:t xml:space="preserve">s = .57~.69, </w:t>
      </w:r>
      <w:r w:rsidRPr="00556EBE">
        <w:rPr>
          <w:i/>
        </w:rPr>
        <w:t>p</w:t>
      </w:r>
      <w:r w:rsidRPr="00556EBE">
        <w:t>s &lt; .001), object-oriented persistence (</w:t>
      </w:r>
      <w:r w:rsidRPr="00556EBE">
        <w:rPr>
          <w:i/>
        </w:rPr>
        <w:t>r</w:t>
      </w:r>
      <w:r w:rsidRPr="00556EBE">
        <w:t xml:space="preserve">s = .52~.66, </w:t>
      </w:r>
      <w:r w:rsidRPr="00556EBE">
        <w:rPr>
          <w:i/>
        </w:rPr>
        <w:t>p</w:t>
      </w:r>
      <w:r w:rsidRPr="00556EBE">
        <w:t>s &lt; .01), and gross motor persistence (</w:t>
      </w:r>
      <w:r w:rsidRPr="00556EBE">
        <w:rPr>
          <w:i/>
        </w:rPr>
        <w:t>r</w:t>
      </w:r>
      <w:r w:rsidRPr="00556EBE">
        <w:t xml:space="preserve">s = .44~.58, </w:t>
      </w:r>
      <w:r w:rsidRPr="00556EBE">
        <w:rPr>
          <w:i/>
        </w:rPr>
        <w:t>p</w:t>
      </w:r>
      <w:r w:rsidRPr="00556EBE">
        <w:t>s &lt; .001) in all three sets of 16-month interval</w:t>
      </w:r>
      <w:r w:rsidRPr="00556EBE">
        <w:rPr>
          <w:rFonts w:eastAsia="PMingLiU"/>
          <w:lang w:eastAsia="zh-TW"/>
        </w:rPr>
        <w:t>s</w:t>
      </w:r>
      <w:r w:rsidRPr="00556EBE">
        <w:t xml:space="preserve">. Cross-wave correlations of social persistence with both adults and children were significant </w:t>
      </w:r>
      <w:r w:rsidRPr="00556EBE">
        <w:rPr>
          <w:rFonts w:eastAsia="PMingLiU"/>
          <w:lang w:eastAsia="zh-TW"/>
        </w:rPr>
        <w:t>from</w:t>
      </w:r>
      <w:r w:rsidRPr="00556EBE">
        <w:t xml:space="preserve"> 10 to 26 months (</w:t>
      </w:r>
      <w:r w:rsidRPr="00556EBE">
        <w:rPr>
          <w:i/>
        </w:rPr>
        <w:t>r</w:t>
      </w:r>
      <w:r w:rsidRPr="00556EBE">
        <w:t xml:space="preserve">s = .48, .50, </w:t>
      </w:r>
      <w:r w:rsidRPr="00556EBE">
        <w:rPr>
          <w:i/>
        </w:rPr>
        <w:t>p</w:t>
      </w:r>
      <w:r w:rsidRPr="00556EBE">
        <w:t xml:space="preserve">s &lt; .001) and </w:t>
      </w:r>
      <w:r w:rsidRPr="00556EBE">
        <w:rPr>
          <w:rFonts w:eastAsia="PMingLiU"/>
          <w:lang w:eastAsia="zh-TW"/>
        </w:rPr>
        <w:t>from</w:t>
      </w:r>
      <w:r w:rsidRPr="00556EBE">
        <w:t xml:space="preserve"> 21 to 37 months (</w:t>
      </w:r>
      <w:r w:rsidRPr="00556EBE">
        <w:rPr>
          <w:i/>
        </w:rPr>
        <w:t>r</w:t>
      </w:r>
      <w:r w:rsidRPr="00556EBE">
        <w:t xml:space="preserve">s = .40, .53, </w:t>
      </w:r>
      <w:r w:rsidRPr="00556EBE">
        <w:rPr>
          <w:i/>
        </w:rPr>
        <w:t>p</w:t>
      </w:r>
      <w:r w:rsidRPr="00556EBE">
        <w:t>s &lt; .01)</w:t>
      </w:r>
      <w:r>
        <w:t>, respectively,</w:t>
      </w:r>
      <w:r w:rsidRPr="00556EBE">
        <w:t xml:space="preserve"> but only significant </w:t>
      </w:r>
      <w:r>
        <w:t xml:space="preserve">at </w:t>
      </w:r>
      <w:r w:rsidRPr="00450E61">
        <w:rPr>
          <w:i/>
        </w:rPr>
        <w:t>p</w:t>
      </w:r>
      <w:r>
        <w:t xml:space="preserve">s &lt; .06 </w:t>
      </w:r>
      <w:r w:rsidRPr="00556EBE">
        <w:rPr>
          <w:rFonts w:eastAsia="PMingLiU"/>
          <w:lang w:eastAsia="zh-TW"/>
        </w:rPr>
        <w:t>from</w:t>
      </w:r>
      <w:r w:rsidRPr="00556EBE">
        <w:t xml:space="preserve"> 37 to 53 months (</w:t>
      </w:r>
      <w:r w:rsidRPr="00556EBE">
        <w:rPr>
          <w:i/>
        </w:rPr>
        <w:t>r</w:t>
      </w:r>
      <w:r w:rsidRPr="00556EBE">
        <w:t xml:space="preserve">s = .30, .31, </w:t>
      </w:r>
      <w:r w:rsidRPr="00556EBE">
        <w:rPr>
          <w:i/>
        </w:rPr>
        <w:t>p</w:t>
      </w:r>
      <w:r>
        <w:t xml:space="preserve">s = .059, .055). </w:t>
      </w:r>
    </w:p>
    <w:p w:rsidR="00E41334" w:rsidRPr="00926C0D" w:rsidRDefault="00E41334" w:rsidP="00E41334">
      <w:pPr>
        <w:pStyle w:val="Kpalrs"/>
      </w:pPr>
      <w:bookmarkStart w:id="1" w:name="OLE_LINK1"/>
      <w:r>
        <w:br w:type="page"/>
      </w:r>
      <w:r w:rsidRPr="00926C0D">
        <w:lastRenderedPageBreak/>
        <w:t>Table 1. Means and Standard Deviations (in parenthesis) of Central Variables in Each Set of Analyses</w:t>
      </w:r>
    </w:p>
    <w:tbl>
      <w:tblPr>
        <w:tblW w:w="9072" w:type="dxa"/>
        <w:jc w:val="center"/>
        <w:tblLayout w:type="fixed"/>
        <w:tblCellMar>
          <w:left w:w="28" w:type="dxa"/>
          <w:right w:w="28" w:type="dxa"/>
        </w:tblCellMar>
        <w:tblLook w:val="04A0" w:firstRow="1" w:lastRow="0" w:firstColumn="1" w:lastColumn="0" w:noHBand="0" w:noVBand="1"/>
      </w:tblPr>
      <w:tblGrid>
        <w:gridCol w:w="2013"/>
        <w:gridCol w:w="1132"/>
        <w:gridCol w:w="913"/>
        <w:gridCol w:w="128"/>
        <w:gridCol w:w="843"/>
        <w:gridCol w:w="843"/>
        <w:gridCol w:w="90"/>
        <w:gridCol w:w="787"/>
        <w:gridCol w:w="787"/>
        <w:gridCol w:w="90"/>
        <w:gridCol w:w="723"/>
        <w:gridCol w:w="723"/>
      </w:tblGrid>
      <w:tr w:rsidR="00E41334" w:rsidRPr="00F9310F" w:rsidTr="001709B8">
        <w:trPr>
          <w:trHeight w:val="28"/>
          <w:jc w:val="center"/>
        </w:trPr>
        <w:tc>
          <w:tcPr>
            <w:tcW w:w="2013" w:type="dxa"/>
            <w:tcBorders>
              <w:top w:val="single" w:sz="4" w:space="0" w:color="auto"/>
            </w:tcBorders>
            <w:shd w:val="clear" w:color="auto" w:fill="auto"/>
            <w:noWrap/>
            <w:vAlign w:val="center"/>
          </w:tcPr>
          <w:p w:rsidR="00E41334" w:rsidRPr="00F9310F" w:rsidRDefault="00E41334" w:rsidP="001709B8">
            <w:pPr>
              <w:pStyle w:val="Tblzat"/>
            </w:pPr>
          </w:p>
        </w:tc>
        <w:tc>
          <w:tcPr>
            <w:tcW w:w="7059" w:type="dxa"/>
            <w:gridSpan w:val="11"/>
            <w:tcBorders>
              <w:top w:val="single" w:sz="4" w:space="0" w:color="auto"/>
              <w:bottom w:val="single" w:sz="8" w:space="0" w:color="auto"/>
            </w:tcBorders>
            <w:vAlign w:val="center"/>
          </w:tcPr>
          <w:p w:rsidR="00E41334" w:rsidRPr="00F9310F" w:rsidRDefault="00E41334" w:rsidP="001709B8">
            <w:pPr>
              <w:pStyle w:val="Tblzat"/>
              <w:jc w:val="center"/>
            </w:pPr>
            <w:r w:rsidRPr="00F9310F">
              <w:t>Age range of cross-wave analysis</w:t>
            </w:r>
          </w:p>
        </w:tc>
      </w:tr>
      <w:tr w:rsidR="00E41334" w:rsidRPr="00F9310F" w:rsidTr="001709B8">
        <w:trPr>
          <w:trHeight w:val="28"/>
          <w:jc w:val="center"/>
        </w:trPr>
        <w:tc>
          <w:tcPr>
            <w:tcW w:w="2013" w:type="dxa"/>
            <w:shd w:val="clear" w:color="auto" w:fill="auto"/>
            <w:noWrap/>
            <w:vAlign w:val="center"/>
            <w:hideMark/>
          </w:tcPr>
          <w:p w:rsidR="00E41334" w:rsidRPr="00F9310F" w:rsidRDefault="00E41334" w:rsidP="001709B8">
            <w:pPr>
              <w:pStyle w:val="Tblzat"/>
            </w:pPr>
            <w:r w:rsidRPr="00F9310F">
              <w:t>Variables</w:t>
            </w:r>
          </w:p>
        </w:tc>
        <w:tc>
          <w:tcPr>
            <w:tcW w:w="2045" w:type="dxa"/>
            <w:gridSpan w:val="2"/>
            <w:tcBorders>
              <w:top w:val="single" w:sz="8" w:space="0" w:color="auto"/>
            </w:tcBorders>
            <w:shd w:val="clear" w:color="auto" w:fill="auto"/>
            <w:noWrap/>
            <w:vAlign w:val="center"/>
            <w:hideMark/>
          </w:tcPr>
          <w:p w:rsidR="00E41334" w:rsidRPr="00F9310F" w:rsidRDefault="00E41334" w:rsidP="001709B8">
            <w:pPr>
              <w:pStyle w:val="Tblzat"/>
              <w:jc w:val="center"/>
            </w:pPr>
            <w:r w:rsidRPr="00F9310F">
              <w:t>10 to 26</w:t>
            </w:r>
          </w:p>
          <w:p w:rsidR="00E41334" w:rsidRPr="00F9310F" w:rsidRDefault="00E41334" w:rsidP="001709B8">
            <w:pPr>
              <w:pStyle w:val="Tblzat"/>
              <w:jc w:val="center"/>
            </w:pPr>
            <w:r w:rsidRPr="00F9310F">
              <w:t>months</w:t>
            </w:r>
          </w:p>
        </w:tc>
        <w:tc>
          <w:tcPr>
            <w:tcW w:w="128" w:type="dxa"/>
            <w:tcBorders>
              <w:top w:val="single" w:sz="8" w:space="0" w:color="auto"/>
            </w:tcBorders>
            <w:vAlign w:val="center"/>
          </w:tcPr>
          <w:p w:rsidR="00E41334" w:rsidRPr="00F9310F" w:rsidRDefault="00E41334" w:rsidP="001709B8">
            <w:pPr>
              <w:pStyle w:val="Tblzat"/>
              <w:jc w:val="center"/>
            </w:pPr>
          </w:p>
        </w:tc>
        <w:tc>
          <w:tcPr>
            <w:tcW w:w="1686" w:type="dxa"/>
            <w:gridSpan w:val="2"/>
            <w:tcBorders>
              <w:top w:val="single" w:sz="8" w:space="0" w:color="auto"/>
            </w:tcBorders>
            <w:shd w:val="clear" w:color="auto" w:fill="auto"/>
            <w:noWrap/>
            <w:vAlign w:val="center"/>
            <w:hideMark/>
          </w:tcPr>
          <w:p w:rsidR="00E41334" w:rsidRPr="00F9310F" w:rsidRDefault="00E41334" w:rsidP="001709B8">
            <w:pPr>
              <w:pStyle w:val="Tblzat"/>
              <w:jc w:val="center"/>
            </w:pPr>
            <w:r w:rsidRPr="00F9310F">
              <w:t>21 to 37</w:t>
            </w:r>
          </w:p>
          <w:p w:rsidR="00E41334" w:rsidRPr="00F9310F" w:rsidRDefault="00E41334" w:rsidP="001709B8">
            <w:pPr>
              <w:pStyle w:val="Tblzat"/>
              <w:jc w:val="center"/>
            </w:pPr>
            <w:r w:rsidRPr="00F9310F">
              <w:t>months</w:t>
            </w:r>
          </w:p>
        </w:tc>
        <w:tc>
          <w:tcPr>
            <w:tcW w:w="90" w:type="dxa"/>
            <w:tcBorders>
              <w:top w:val="single" w:sz="8" w:space="0" w:color="auto"/>
            </w:tcBorders>
            <w:vAlign w:val="center"/>
          </w:tcPr>
          <w:p w:rsidR="00E41334" w:rsidRPr="00F9310F" w:rsidRDefault="00E41334" w:rsidP="001709B8">
            <w:pPr>
              <w:pStyle w:val="Tblzat"/>
              <w:jc w:val="center"/>
            </w:pPr>
          </w:p>
        </w:tc>
        <w:tc>
          <w:tcPr>
            <w:tcW w:w="1574" w:type="dxa"/>
            <w:gridSpan w:val="2"/>
            <w:tcBorders>
              <w:top w:val="single" w:sz="8" w:space="0" w:color="auto"/>
            </w:tcBorders>
            <w:shd w:val="clear" w:color="auto" w:fill="auto"/>
            <w:noWrap/>
            <w:vAlign w:val="center"/>
            <w:hideMark/>
          </w:tcPr>
          <w:p w:rsidR="00E41334" w:rsidRPr="00F9310F" w:rsidRDefault="00E41334" w:rsidP="001709B8">
            <w:pPr>
              <w:pStyle w:val="Tblzat"/>
              <w:jc w:val="center"/>
            </w:pPr>
            <w:r w:rsidRPr="00F9310F">
              <w:t>37 to 53</w:t>
            </w:r>
          </w:p>
          <w:p w:rsidR="00E41334" w:rsidRPr="00F9310F" w:rsidRDefault="00E41334" w:rsidP="001709B8">
            <w:pPr>
              <w:pStyle w:val="Tblzat"/>
              <w:jc w:val="center"/>
            </w:pPr>
            <w:r w:rsidRPr="00F9310F">
              <w:t>months</w:t>
            </w:r>
          </w:p>
        </w:tc>
        <w:tc>
          <w:tcPr>
            <w:tcW w:w="90" w:type="dxa"/>
            <w:tcBorders>
              <w:top w:val="single" w:sz="8" w:space="0" w:color="auto"/>
            </w:tcBorders>
            <w:vAlign w:val="center"/>
          </w:tcPr>
          <w:p w:rsidR="00E41334" w:rsidRPr="00F9310F" w:rsidRDefault="00E41334" w:rsidP="001709B8">
            <w:pPr>
              <w:pStyle w:val="Tblzat"/>
              <w:jc w:val="center"/>
            </w:pPr>
          </w:p>
        </w:tc>
        <w:tc>
          <w:tcPr>
            <w:tcW w:w="1446" w:type="dxa"/>
            <w:gridSpan w:val="2"/>
            <w:tcBorders>
              <w:top w:val="single" w:sz="8" w:space="0" w:color="auto"/>
            </w:tcBorders>
            <w:shd w:val="clear" w:color="auto" w:fill="auto"/>
            <w:noWrap/>
            <w:vAlign w:val="center"/>
            <w:hideMark/>
          </w:tcPr>
          <w:p w:rsidR="00E41334" w:rsidRPr="00F9310F" w:rsidRDefault="00E41334" w:rsidP="001709B8">
            <w:pPr>
              <w:pStyle w:val="Tblzat"/>
              <w:jc w:val="center"/>
            </w:pPr>
            <w:r w:rsidRPr="00F9310F">
              <w:t>10 to 53 months</w:t>
            </w:r>
          </w:p>
        </w:tc>
      </w:tr>
      <w:tr w:rsidR="00E41334" w:rsidRPr="00F9310F" w:rsidTr="001709B8">
        <w:trPr>
          <w:trHeight w:val="28"/>
          <w:jc w:val="center"/>
        </w:trPr>
        <w:tc>
          <w:tcPr>
            <w:tcW w:w="2013" w:type="dxa"/>
            <w:shd w:val="clear" w:color="auto" w:fill="auto"/>
            <w:noWrap/>
            <w:vAlign w:val="center"/>
            <w:hideMark/>
          </w:tcPr>
          <w:p w:rsidR="00E41334" w:rsidRPr="00F9310F" w:rsidRDefault="00E41334" w:rsidP="001709B8">
            <w:pPr>
              <w:pStyle w:val="Tblzat"/>
            </w:pPr>
          </w:p>
        </w:tc>
        <w:tc>
          <w:tcPr>
            <w:tcW w:w="2045" w:type="dxa"/>
            <w:gridSpan w:val="2"/>
            <w:tcBorders>
              <w:bottom w:val="single" w:sz="8" w:space="0" w:color="auto"/>
            </w:tcBorders>
            <w:shd w:val="clear" w:color="auto" w:fill="auto"/>
            <w:noWrap/>
            <w:vAlign w:val="center"/>
            <w:hideMark/>
          </w:tcPr>
          <w:p w:rsidR="00E41334" w:rsidRPr="00F9310F" w:rsidRDefault="00E41334" w:rsidP="001709B8">
            <w:pPr>
              <w:pStyle w:val="Tblzat"/>
              <w:jc w:val="center"/>
            </w:pPr>
            <w:r w:rsidRPr="00F9310F">
              <w:t>(</w:t>
            </w:r>
            <w:r w:rsidRPr="00F9310F">
              <w:rPr>
                <w:rFonts w:eastAsia="PMingLiU"/>
                <w:i/>
                <w:lang w:eastAsia="zh-TW"/>
              </w:rPr>
              <w:t>n</w:t>
            </w:r>
            <w:r w:rsidRPr="00F9310F">
              <w:t xml:space="preserve"> = 53)</w:t>
            </w:r>
          </w:p>
        </w:tc>
        <w:tc>
          <w:tcPr>
            <w:tcW w:w="128" w:type="dxa"/>
            <w:vAlign w:val="center"/>
          </w:tcPr>
          <w:p w:rsidR="00E41334" w:rsidRPr="00F9310F" w:rsidRDefault="00E41334" w:rsidP="001709B8">
            <w:pPr>
              <w:pStyle w:val="Tblzat"/>
              <w:jc w:val="center"/>
            </w:pPr>
          </w:p>
        </w:tc>
        <w:tc>
          <w:tcPr>
            <w:tcW w:w="1686" w:type="dxa"/>
            <w:gridSpan w:val="2"/>
            <w:tcBorders>
              <w:bottom w:val="single" w:sz="8" w:space="0" w:color="auto"/>
            </w:tcBorders>
            <w:shd w:val="clear" w:color="auto" w:fill="auto"/>
            <w:noWrap/>
            <w:vAlign w:val="center"/>
            <w:hideMark/>
          </w:tcPr>
          <w:p w:rsidR="00E41334" w:rsidRPr="00F9310F" w:rsidRDefault="00E41334" w:rsidP="001709B8">
            <w:pPr>
              <w:pStyle w:val="Tblzat"/>
              <w:jc w:val="center"/>
            </w:pPr>
            <w:r w:rsidRPr="00F9310F">
              <w:t>(</w:t>
            </w:r>
            <w:r w:rsidRPr="00F9310F">
              <w:rPr>
                <w:rFonts w:eastAsia="PMingLiU"/>
                <w:i/>
                <w:lang w:eastAsia="zh-TW"/>
              </w:rPr>
              <w:t>n</w:t>
            </w:r>
            <w:r w:rsidRPr="00F9310F">
              <w:t xml:space="preserve"> = 43)</w:t>
            </w:r>
          </w:p>
        </w:tc>
        <w:tc>
          <w:tcPr>
            <w:tcW w:w="90" w:type="dxa"/>
            <w:vAlign w:val="center"/>
          </w:tcPr>
          <w:p w:rsidR="00E41334" w:rsidRPr="00F9310F" w:rsidRDefault="00E41334" w:rsidP="001709B8">
            <w:pPr>
              <w:pStyle w:val="Tblzat"/>
              <w:jc w:val="center"/>
            </w:pPr>
          </w:p>
        </w:tc>
        <w:tc>
          <w:tcPr>
            <w:tcW w:w="1574" w:type="dxa"/>
            <w:gridSpan w:val="2"/>
            <w:tcBorders>
              <w:bottom w:val="single" w:sz="8" w:space="0" w:color="auto"/>
            </w:tcBorders>
            <w:shd w:val="clear" w:color="auto" w:fill="auto"/>
            <w:noWrap/>
            <w:vAlign w:val="center"/>
            <w:hideMark/>
          </w:tcPr>
          <w:p w:rsidR="00E41334" w:rsidRPr="00F9310F" w:rsidRDefault="00E41334" w:rsidP="001709B8">
            <w:pPr>
              <w:pStyle w:val="Tblzat"/>
              <w:jc w:val="center"/>
            </w:pPr>
            <w:r w:rsidRPr="00F9310F">
              <w:t>(</w:t>
            </w:r>
            <w:r w:rsidRPr="00F9310F">
              <w:rPr>
                <w:rFonts w:eastAsia="PMingLiU"/>
                <w:i/>
                <w:lang w:eastAsia="zh-TW"/>
              </w:rPr>
              <w:t>n</w:t>
            </w:r>
            <w:r w:rsidRPr="00F9310F">
              <w:t xml:space="preserve"> = 40)</w:t>
            </w:r>
          </w:p>
        </w:tc>
        <w:tc>
          <w:tcPr>
            <w:tcW w:w="90" w:type="dxa"/>
            <w:vAlign w:val="center"/>
          </w:tcPr>
          <w:p w:rsidR="00E41334" w:rsidRPr="00F9310F" w:rsidRDefault="00E41334" w:rsidP="001709B8">
            <w:pPr>
              <w:pStyle w:val="Tblzat"/>
              <w:jc w:val="center"/>
            </w:pPr>
          </w:p>
        </w:tc>
        <w:tc>
          <w:tcPr>
            <w:tcW w:w="1446" w:type="dxa"/>
            <w:gridSpan w:val="2"/>
            <w:tcBorders>
              <w:bottom w:val="single" w:sz="8" w:space="0" w:color="auto"/>
            </w:tcBorders>
            <w:shd w:val="clear" w:color="auto" w:fill="auto"/>
            <w:noWrap/>
            <w:vAlign w:val="center"/>
            <w:hideMark/>
          </w:tcPr>
          <w:p w:rsidR="00E41334" w:rsidRPr="00F9310F" w:rsidRDefault="00E41334" w:rsidP="001709B8">
            <w:pPr>
              <w:pStyle w:val="Tblzat"/>
              <w:jc w:val="center"/>
            </w:pPr>
            <w:r w:rsidRPr="00F9310F">
              <w:t>(</w:t>
            </w:r>
            <w:r w:rsidRPr="00F9310F">
              <w:rPr>
                <w:rFonts w:eastAsia="PMingLiU"/>
                <w:i/>
                <w:lang w:eastAsia="zh-TW"/>
              </w:rPr>
              <w:t>n</w:t>
            </w:r>
            <w:r w:rsidRPr="00F9310F">
              <w:t xml:space="preserve"> = 40)</w:t>
            </w:r>
          </w:p>
        </w:tc>
      </w:tr>
      <w:tr w:rsidR="00E41334" w:rsidRPr="00F9310F" w:rsidTr="001709B8">
        <w:trPr>
          <w:trHeight w:val="28"/>
          <w:jc w:val="center"/>
        </w:trPr>
        <w:tc>
          <w:tcPr>
            <w:tcW w:w="2013" w:type="dxa"/>
            <w:tcBorders>
              <w:bottom w:val="single" w:sz="8" w:space="0" w:color="auto"/>
            </w:tcBorders>
            <w:shd w:val="clear" w:color="auto" w:fill="auto"/>
            <w:noWrap/>
            <w:vAlign w:val="center"/>
            <w:hideMark/>
          </w:tcPr>
          <w:p w:rsidR="00E41334" w:rsidRPr="00F9310F" w:rsidRDefault="00E41334" w:rsidP="001709B8">
            <w:pPr>
              <w:pStyle w:val="Tblzat"/>
            </w:pPr>
          </w:p>
        </w:tc>
        <w:tc>
          <w:tcPr>
            <w:tcW w:w="1132"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10</w:t>
            </w:r>
          </w:p>
          <w:p w:rsidR="00E41334" w:rsidRPr="00F9310F" w:rsidRDefault="00E41334" w:rsidP="001709B8">
            <w:pPr>
              <w:pStyle w:val="Tblzat"/>
              <w:jc w:val="center"/>
            </w:pPr>
            <w:r w:rsidRPr="00F9310F">
              <w:t>months</w:t>
            </w:r>
          </w:p>
        </w:tc>
        <w:tc>
          <w:tcPr>
            <w:tcW w:w="913"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26</w:t>
            </w:r>
          </w:p>
          <w:p w:rsidR="00E41334" w:rsidRPr="00F9310F" w:rsidRDefault="00E41334" w:rsidP="001709B8">
            <w:pPr>
              <w:pStyle w:val="Tblzat"/>
              <w:jc w:val="center"/>
            </w:pPr>
            <w:r w:rsidRPr="00F9310F">
              <w:t>months</w:t>
            </w:r>
          </w:p>
        </w:tc>
        <w:tc>
          <w:tcPr>
            <w:tcW w:w="128" w:type="dxa"/>
            <w:tcBorders>
              <w:bottom w:val="single" w:sz="8" w:space="0" w:color="auto"/>
            </w:tcBorders>
            <w:vAlign w:val="center"/>
          </w:tcPr>
          <w:p w:rsidR="00E41334" w:rsidRPr="00F9310F" w:rsidRDefault="00E41334" w:rsidP="001709B8">
            <w:pPr>
              <w:pStyle w:val="Tblzat"/>
              <w:jc w:val="center"/>
            </w:pPr>
          </w:p>
        </w:tc>
        <w:tc>
          <w:tcPr>
            <w:tcW w:w="843"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21</w:t>
            </w:r>
          </w:p>
          <w:p w:rsidR="00E41334" w:rsidRPr="00F9310F" w:rsidRDefault="00E41334" w:rsidP="001709B8">
            <w:pPr>
              <w:pStyle w:val="Tblzat"/>
              <w:jc w:val="center"/>
            </w:pPr>
            <w:r w:rsidRPr="00F9310F">
              <w:t>months</w:t>
            </w:r>
          </w:p>
        </w:tc>
        <w:tc>
          <w:tcPr>
            <w:tcW w:w="843"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37</w:t>
            </w:r>
          </w:p>
          <w:p w:rsidR="00E41334" w:rsidRPr="00F9310F" w:rsidRDefault="00E41334" w:rsidP="001709B8">
            <w:pPr>
              <w:pStyle w:val="Tblzat"/>
              <w:jc w:val="center"/>
            </w:pPr>
            <w:r w:rsidRPr="00F9310F">
              <w:t>months</w:t>
            </w:r>
          </w:p>
        </w:tc>
        <w:tc>
          <w:tcPr>
            <w:tcW w:w="90" w:type="dxa"/>
            <w:tcBorders>
              <w:bottom w:val="single" w:sz="8" w:space="0" w:color="auto"/>
            </w:tcBorders>
            <w:vAlign w:val="center"/>
          </w:tcPr>
          <w:p w:rsidR="00E41334" w:rsidRPr="00F9310F" w:rsidRDefault="00E41334" w:rsidP="001709B8">
            <w:pPr>
              <w:pStyle w:val="Tblzat"/>
              <w:jc w:val="center"/>
            </w:pPr>
          </w:p>
        </w:tc>
        <w:tc>
          <w:tcPr>
            <w:tcW w:w="787"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37</w:t>
            </w:r>
          </w:p>
          <w:p w:rsidR="00E41334" w:rsidRPr="00F9310F" w:rsidRDefault="00E41334" w:rsidP="001709B8">
            <w:pPr>
              <w:pStyle w:val="Tblzat"/>
              <w:jc w:val="center"/>
            </w:pPr>
            <w:r w:rsidRPr="00F9310F">
              <w:t>months</w:t>
            </w:r>
          </w:p>
        </w:tc>
        <w:tc>
          <w:tcPr>
            <w:tcW w:w="787"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53</w:t>
            </w:r>
          </w:p>
          <w:p w:rsidR="00E41334" w:rsidRPr="00F9310F" w:rsidRDefault="00E41334" w:rsidP="001709B8">
            <w:pPr>
              <w:pStyle w:val="Tblzat"/>
              <w:jc w:val="center"/>
            </w:pPr>
            <w:r w:rsidRPr="00F9310F">
              <w:t>months</w:t>
            </w:r>
          </w:p>
        </w:tc>
        <w:tc>
          <w:tcPr>
            <w:tcW w:w="90" w:type="dxa"/>
            <w:tcBorders>
              <w:bottom w:val="single" w:sz="8" w:space="0" w:color="auto"/>
            </w:tcBorders>
            <w:vAlign w:val="center"/>
          </w:tcPr>
          <w:p w:rsidR="00E41334" w:rsidRPr="00F9310F" w:rsidRDefault="00E41334" w:rsidP="001709B8">
            <w:pPr>
              <w:pStyle w:val="Tblzat"/>
              <w:jc w:val="center"/>
            </w:pPr>
          </w:p>
        </w:tc>
        <w:tc>
          <w:tcPr>
            <w:tcW w:w="723"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10</w:t>
            </w:r>
          </w:p>
          <w:p w:rsidR="00E41334" w:rsidRPr="00F9310F" w:rsidRDefault="00E41334" w:rsidP="001709B8">
            <w:pPr>
              <w:pStyle w:val="Tblzat"/>
              <w:jc w:val="center"/>
            </w:pPr>
            <w:r w:rsidRPr="00F9310F">
              <w:t>months</w:t>
            </w:r>
          </w:p>
        </w:tc>
        <w:tc>
          <w:tcPr>
            <w:tcW w:w="723" w:type="dxa"/>
            <w:tcBorders>
              <w:top w:val="single" w:sz="8" w:space="0" w:color="auto"/>
              <w:bottom w:val="single" w:sz="8" w:space="0" w:color="auto"/>
            </w:tcBorders>
            <w:shd w:val="clear" w:color="auto" w:fill="auto"/>
            <w:noWrap/>
            <w:vAlign w:val="center"/>
            <w:hideMark/>
          </w:tcPr>
          <w:p w:rsidR="00E41334" w:rsidRPr="00F9310F" w:rsidRDefault="00E41334" w:rsidP="001709B8">
            <w:pPr>
              <w:pStyle w:val="Tblzat"/>
              <w:jc w:val="center"/>
            </w:pPr>
            <w:r w:rsidRPr="00F9310F">
              <w:t>53</w:t>
            </w:r>
          </w:p>
          <w:p w:rsidR="00E41334" w:rsidRPr="00F9310F" w:rsidRDefault="00E41334" w:rsidP="001709B8">
            <w:pPr>
              <w:pStyle w:val="Tblzat"/>
              <w:jc w:val="center"/>
            </w:pPr>
            <w:r w:rsidRPr="00F9310F">
              <w:t>months</w:t>
            </w:r>
          </w:p>
        </w:tc>
      </w:tr>
      <w:tr w:rsidR="00E41334" w:rsidRPr="00F9310F" w:rsidTr="001709B8">
        <w:trPr>
          <w:trHeight w:val="28"/>
          <w:jc w:val="center"/>
        </w:trPr>
        <w:tc>
          <w:tcPr>
            <w:tcW w:w="2013" w:type="dxa"/>
            <w:tcBorders>
              <w:top w:val="single" w:sz="8" w:space="0" w:color="auto"/>
            </w:tcBorders>
            <w:shd w:val="clear" w:color="auto" w:fill="auto"/>
            <w:vAlign w:val="center"/>
            <w:hideMark/>
          </w:tcPr>
          <w:p w:rsidR="00E41334" w:rsidRPr="00F9310F" w:rsidRDefault="00E41334" w:rsidP="001709B8">
            <w:pPr>
              <w:pStyle w:val="Tblzat"/>
            </w:pPr>
            <w:r w:rsidRPr="00F9310F">
              <w:t>Child gender (boy/girl)</w:t>
            </w:r>
          </w:p>
        </w:tc>
        <w:tc>
          <w:tcPr>
            <w:tcW w:w="2045" w:type="dxa"/>
            <w:gridSpan w:val="2"/>
            <w:tcBorders>
              <w:top w:val="single" w:sz="8" w:space="0" w:color="auto"/>
            </w:tcBorders>
            <w:shd w:val="clear" w:color="auto" w:fill="auto"/>
            <w:vAlign w:val="center"/>
            <w:hideMark/>
          </w:tcPr>
          <w:p w:rsidR="00E41334" w:rsidRPr="00F9310F" w:rsidRDefault="00E41334" w:rsidP="001709B8">
            <w:pPr>
              <w:pStyle w:val="Tblzat"/>
              <w:jc w:val="center"/>
            </w:pPr>
            <w:r w:rsidRPr="00F9310F">
              <w:t>28/25</w:t>
            </w:r>
          </w:p>
        </w:tc>
        <w:tc>
          <w:tcPr>
            <w:tcW w:w="128" w:type="dxa"/>
            <w:tcBorders>
              <w:top w:val="single" w:sz="8" w:space="0" w:color="auto"/>
            </w:tcBorders>
            <w:vAlign w:val="center"/>
          </w:tcPr>
          <w:p w:rsidR="00E41334" w:rsidRPr="00F9310F" w:rsidRDefault="00E41334" w:rsidP="001709B8">
            <w:pPr>
              <w:pStyle w:val="Tblzat"/>
              <w:jc w:val="center"/>
            </w:pPr>
          </w:p>
        </w:tc>
        <w:tc>
          <w:tcPr>
            <w:tcW w:w="1686" w:type="dxa"/>
            <w:gridSpan w:val="2"/>
            <w:tcBorders>
              <w:top w:val="single" w:sz="8" w:space="0" w:color="auto"/>
            </w:tcBorders>
            <w:shd w:val="clear" w:color="auto" w:fill="auto"/>
            <w:vAlign w:val="center"/>
            <w:hideMark/>
          </w:tcPr>
          <w:p w:rsidR="00E41334" w:rsidRPr="00F9310F" w:rsidRDefault="00E41334" w:rsidP="001709B8">
            <w:pPr>
              <w:pStyle w:val="Tblzat"/>
              <w:jc w:val="center"/>
            </w:pPr>
            <w:r w:rsidRPr="00F9310F">
              <w:t>25/18</w:t>
            </w:r>
          </w:p>
        </w:tc>
        <w:tc>
          <w:tcPr>
            <w:tcW w:w="90" w:type="dxa"/>
            <w:tcBorders>
              <w:top w:val="single" w:sz="8" w:space="0" w:color="auto"/>
            </w:tcBorders>
            <w:vAlign w:val="center"/>
          </w:tcPr>
          <w:p w:rsidR="00E41334" w:rsidRPr="00F9310F" w:rsidRDefault="00E41334" w:rsidP="001709B8">
            <w:pPr>
              <w:pStyle w:val="Tblzat"/>
              <w:jc w:val="center"/>
            </w:pPr>
          </w:p>
        </w:tc>
        <w:tc>
          <w:tcPr>
            <w:tcW w:w="1574" w:type="dxa"/>
            <w:gridSpan w:val="2"/>
            <w:tcBorders>
              <w:top w:val="single" w:sz="8" w:space="0" w:color="auto"/>
            </w:tcBorders>
            <w:shd w:val="clear" w:color="auto" w:fill="auto"/>
            <w:vAlign w:val="center"/>
            <w:hideMark/>
          </w:tcPr>
          <w:p w:rsidR="00E41334" w:rsidRPr="00F9310F" w:rsidRDefault="00E41334" w:rsidP="001709B8">
            <w:pPr>
              <w:pStyle w:val="Tblzat"/>
              <w:jc w:val="center"/>
            </w:pPr>
            <w:r w:rsidRPr="00F9310F">
              <w:t>25/15</w:t>
            </w:r>
          </w:p>
        </w:tc>
        <w:tc>
          <w:tcPr>
            <w:tcW w:w="90" w:type="dxa"/>
            <w:tcBorders>
              <w:top w:val="single" w:sz="8" w:space="0" w:color="auto"/>
            </w:tcBorders>
            <w:vAlign w:val="center"/>
          </w:tcPr>
          <w:p w:rsidR="00E41334" w:rsidRPr="00F9310F" w:rsidRDefault="00E41334" w:rsidP="001709B8">
            <w:pPr>
              <w:pStyle w:val="Tblzat"/>
              <w:jc w:val="center"/>
            </w:pPr>
          </w:p>
        </w:tc>
        <w:tc>
          <w:tcPr>
            <w:tcW w:w="1446" w:type="dxa"/>
            <w:gridSpan w:val="2"/>
            <w:tcBorders>
              <w:top w:val="single" w:sz="8" w:space="0" w:color="auto"/>
            </w:tcBorders>
            <w:shd w:val="clear" w:color="auto" w:fill="auto"/>
            <w:vAlign w:val="center"/>
            <w:hideMark/>
          </w:tcPr>
          <w:p w:rsidR="00E41334" w:rsidRPr="00F9310F" w:rsidRDefault="00E41334" w:rsidP="001709B8">
            <w:pPr>
              <w:pStyle w:val="Tblzat"/>
              <w:jc w:val="center"/>
            </w:pPr>
            <w:r w:rsidRPr="00F9310F">
              <w:t>22/18</w:t>
            </w:r>
          </w:p>
        </w:tc>
      </w:tr>
      <w:tr w:rsidR="00E41334" w:rsidRPr="00F9310F" w:rsidTr="001709B8">
        <w:trPr>
          <w:trHeight w:val="28"/>
          <w:jc w:val="center"/>
        </w:trPr>
        <w:tc>
          <w:tcPr>
            <w:tcW w:w="2013" w:type="dxa"/>
            <w:shd w:val="clear" w:color="auto" w:fill="auto"/>
            <w:vAlign w:val="center"/>
          </w:tcPr>
          <w:p w:rsidR="00E41334" w:rsidRPr="00F9310F" w:rsidRDefault="00E41334" w:rsidP="001709B8">
            <w:pPr>
              <w:pStyle w:val="Tblzat"/>
            </w:pPr>
            <w:r w:rsidRPr="00F9310F">
              <w:t>Child’s age (months)</w:t>
            </w:r>
          </w:p>
        </w:tc>
        <w:tc>
          <w:tcPr>
            <w:tcW w:w="1132" w:type="dxa"/>
            <w:shd w:val="clear" w:color="auto" w:fill="auto"/>
            <w:vAlign w:val="center"/>
          </w:tcPr>
          <w:p w:rsidR="00E41334" w:rsidRPr="00F9310F" w:rsidRDefault="00E41334" w:rsidP="001709B8">
            <w:pPr>
              <w:pStyle w:val="Tblzat"/>
              <w:jc w:val="center"/>
            </w:pPr>
            <w:r w:rsidRPr="00F9310F">
              <w:t>9.53</w:t>
            </w:r>
          </w:p>
          <w:p w:rsidR="00E41334" w:rsidRPr="00F9310F" w:rsidRDefault="00E41334" w:rsidP="001709B8">
            <w:pPr>
              <w:pStyle w:val="Tblzat"/>
              <w:jc w:val="center"/>
            </w:pPr>
            <w:r w:rsidRPr="00F9310F">
              <w:t>(0.64)</w:t>
            </w:r>
          </w:p>
        </w:tc>
        <w:tc>
          <w:tcPr>
            <w:tcW w:w="913" w:type="dxa"/>
            <w:shd w:val="clear" w:color="auto" w:fill="auto"/>
            <w:vAlign w:val="center"/>
          </w:tcPr>
          <w:p w:rsidR="00E41334" w:rsidRPr="00F9310F" w:rsidRDefault="00E41334" w:rsidP="001709B8">
            <w:pPr>
              <w:pStyle w:val="Tblzat"/>
              <w:jc w:val="center"/>
            </w:pPr>
            <w:r w:rsidRPr="00F9310F">
              <w:t>26.00</w:t>
            </w:r>
          </w:p>
          <w:p w:rsidR="00E41334" w:rsidRPr="00F9310F" w:rsidRDefault="00E41334" w:rsidP="001709B8">
            <w:pPr>
              <w:pStyle w:val="Tblzat"/>
              <w:jc w:val="center"/>
            </w:pPr>
            <w:r w:rsidRPr="00F9310F">
              <w:t>(1.57)</w:t>
            </w:r>
          </w:p>
        </w:tc>
        <w:tc>
          <w:tcPr>
            <w:tcW w:w="128" w:type="dxa"/>
            <w:vAlign w:val="center"/>
          </w:tcPr>
          <w:p w:rsidR="00E41334" w:rsidRPr="00F9310F" w:rsidRDefault="00E41334" w:rsidP="001709B8">
            <w:pPr>
              <w:pStyle w:val="Tblzat"/>
              <w:jc w:val="center"/>
            </w:pPr>
          </w:p>
        </w:tc>
        <w:tc>
          <w:tcPr>
            <w:tcW w:w="843" w:type="dxa"/>
            <w:shd w:val="clear" w:color="auto" w:fill="auto"/>
            <w:vAlign w:val="center"/>
          </w:tcPr>
          <w:p w:rsidR="00E41334" w:rsidRPr="00F9310F" w:rsidRDefault="00E41334" w:rsidP="001709B8">
            <w:pPr>
              <w:pStyle w:val="Tblzat"/>
              <w:jc w:val="center"/>
            </w:pPr>
            <w:r w:rsidRPr="00F9310F">
              <w:t>20.77</w:t>
            </w:r>
          </w:p>
          <w:p w:rsidR="00E41334" w:rsidRPr="00F9310F" w:rsidRDefault="00E41334" w:rsidP="001709B8">
            <w:pPr>
              <w:pStyle w:val="Tblzat"/>
              <w:jc w:val="center"/>
            </w:pPr>
            <w:r w:rsidRPr="00F9310F">
              <w:t>(0.95)</w:t>
            </w:r>
          </w:p>
        </w:tc>
        <w:tc>
          <w:tcPr>
            <w:tcW w:w="843" w:type="dxa"/>
            <w:shd w:val="clear" w:color="auto" w:fill="auto"/>
            <w:vAlign w:val="center"/>
          </w:tcPr>
          <w:p w:rsidR="00E41334" w:rsidRPr="00F9310F" w:rsidRDefault="00E41334" w:rsidP="001709B8">
            <w:pPr>
              <w:pStyle w:val="Tblzat"/>
              <w:jc w:val="center"/>
            </w:pPr>
            <w:r w:rsidRPr="00F9310F">
              <w:t>37.02</w:t>
            </w:r>
          </w:p>
          <w:p w:rsidR="00E41334" w:rsidRPr="00F9310F" w:rsidRDefault="00E41334" w:rsidP="001709B8">
            <w:pPr>
              <w:pStyle w:val="Tblzat"/>
              <w:jc w:val="center"/>
            </w:pPr>
            <w:r w:rsidRPr="00F9310F">
              <w:t>(1.50)</w:t>
            </w:r>
          </w:p>
        </w:tc>
        <w:tc>
          <w:tcPr>
            <w:tcW w:w="90" w:type="dxa"/>
            <w:vAlign w:val="center"/>
          </w:tcPr>
          <w:p w:rsidR="00E41334" w:rsidRPr="00F9310F" w:rsidRDefault="00E41334" w:rsidP="001709B8">
            <w:pPr>
              <w:pStyle w:val="Tblzat"/>
              <w:jc w:val="center"/>
            </w:pPr>
          </w:p>
        </w:tc>
        <w:tc>
          <w:tcPr>
            <w:tcW w:w="787" w:type="dxa"/>
            <w:shd w:val="clear" w:color="auto" w:fill="auto"/>
            <w:vAlign w:val="center"/>
          </w:tcPr>
          <w:p w:rsidR="00E41334" w:rsidRPr="00F9310F" w:rsidRDefault="00E41334" w:rsidP="001709B8">
            <w:pPr>
              <w:pStyle w:val="Tblzat"/>
              <w:jc w:val="center"/>
            </w:pPr>
            <w:r w:rsidRPr="00F9310F">
              <w:t>37.16</w:t>
            </w:r>
          </w:p>
          <w:p w:rsidR="00E41334" w:rsidRPr="00F9310F" w:rsidRDefault="00E41334" w:rsidP="001709B8">
            <w:pPr>
              <w:pStyle w:val="Tblzat"/>
              <w:jc w:val="center"/>
            </w:pPr>
            <w:r w:rsidRPr="00F9310F">
              <w:t>(1.24)</w:t>
            </w:r>
          </w:p>
        </w:tc>
        <w:tc>
          <w:tcPr>
            <w:tcW w:w="787" w:type="dxa"/>
            <w:shd w:val="clear" w:color="auto" w:fill="auto"/>
            <w:vAlign w:val="center"/>
          </w:tcPr>
          <w:p w:rsidR="00E41334" w:rsidRPr="00F9310F" w:rsidRDefault="00E41334" w:rsidP="001709B8">
            <w:pPr>
              <w:pStyle w:val="Tblzat"/>
              <w:jc w:val="center"/>
            </w:pPr>
            <w:r w:rsidRPr="00F9310F">
              <w:t>52.50</w:t>
            </w:r>
          </w:p>
          <w:p w:rsidR="00E41334" w:rsidRPr="00F9310F" w:rsidRDefault="00E41334" w:rsidP="001709B8">
            <w:pPr>
              <w:pStyle w:val="Tblzat"/>
              <w:jc w:val="center"/>
            </w:pPr>
            <w:r w:rsidRPr="00F9310F">
              <w:t>(2.46)</w:t>
            </w:r>
          </w:p>
        </w:tc>
        <w:tc>
          <w:tcPr>
            <w:tcW w:w="90" w:type="dxa"/>
            <w:vAlign w:val="center"/>
          </w:tcPr>
          <w:p w:rsidR="00E41334" w:rsidRPr="00F9310F" w:rsidRDefault="00E41334" w:rsidP="001709B8">
            <w:pPr>
              <w:pStyle w:val="Tblzat"/>
              <w:jc w:val="center"/>
            </w:pPr>
          </w:p>
        </w:tc>
        <w:tc>
          <w:tcPr>
            <w:tcW w:w="723" w:type="dxa"/>
            <w:shd w:val="clear" w:color="auto" w:fill="auto"/>
            <w:vAlign w:val="center"/>
          </w:tcPr>
          <w:p w:rsidR="00E41334" w:rsidRPr="00F9310F" w:rsidRDefault="00E41334" w:rsidP="001709B8">
            <w:pPr>
              <w:pStyle w:val="Tblzat"/>
              <w:jc w:val="center"/>
            </w:pPr>
            <w:r w:rsidRPr="00F9310F">
              <w:t>9.53</w:t>
            </w:r>
          </w:p>
          <w:p w:rsidR="00E41334" w:rsidRPr="00F9310F" w:rsidRDefault="00E41334" w:rsidP="001709B8">
            <w:pPr>
              <w:pStyle w:val="Tblzat"/>
              <w:jc w:val="center"/>
            </w:pPr>
            <w:r w:rsidRPr="00F9310F">
              <w:t>(0.62)</w:t>
            </w:r>
          </w:p>
        </w:tc>
        <w:tc>
          <w:tcPr>
            <w:tcW w:w="723" w:type="dxa"/>
            <w:shd w:val="clear" w:color="auto" w:fill="auto"/>
            <w:vAlign w:val="center"/>
          </w:tcPr>
          <w:p w:rsidR="00E41334" w:rsidRPr="00F9310F" w:rsidRDefault="00E41334" w:rsidP="001709B8">
            <w:pPr>
              <w:pStyle w:val="Tblzat"/>
              <w:jc w:val="center"/>
            </w:pPr>
            <w:r w:rsidRPr="00F9310F">
              <w:t>52.70</w:t>
            </w:r>
          </w:p>
          <w:p w:rsidR="00E41334" w:rsidRPr="00F9310F" w:rsidRDefault="00E41334" w:rsidP="001709B8">
            <w:pPr>
              <w:pStyle w:val="Tblzat"/>
              <w:jc w:val="center"/>
            </w:pPr>
            <w:r w:rsidRPr="00F9310F">
              <w:t>(1.41)</w:t>
            </w: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Mother’s educational level (year)</w:t>
            </w:r>
          </w:p>
        </w:tc>
        <w:tc>
          <w:tcPr>
            <w:tcW w:w="2045" w:type="dxa"/>
            <w:gridSpan w:val="2"/>
            <w:shd w:val="clear" w:color="auto" w:fill="auto"/>
            <w:vAlign w:val="center"/>
            <w:hideMark/>
          </w:tcPr>
          <w:p w:rsidR="00E41334" w:rsidRPr="00F9310F" w:rsidRDefault="00E41334" w:rsidP="001709B8">
            <w:pPr>
              <w:pStyle w:val="Tblzat"/>
              <w:jc w:val="center"/>
            </w:pPr>
            <w:r w:rsidRPr="00F9310F">
              <w:t>15.26</w:t>
            </w:r>
          </w:p>
          <w:p w:rsidR="00E41334" w:rsidRPr="00F9310F" w:rsidRDefault="00E41334" w:rsidP="001709B8">
            <w:pPr>
              <w:pStyle w:val="Tblzat"/>
              <w:jc w:val="center"/>
            </w:pPr>
            <w:r w:rsidRPr="00F9310F">
              <w:t>(1.71)</w:t>
            </w:r>
          </w:p>
        </w:tc>
        <w:tc>
          <w:tcPr>
            <w:tcW w:w="128" w:type="dxa"/>
            <w:vAlign w:val="center"/>
          </w:tcPr>
          <w:p w:rsidR="00E41334" w:rsidRPr="00F9310F" w:rsidRDefault="00E41334" w:rsidP="001709B8">
            <w:pPr>
              <w:pStyle w:val="Tblzat"/>
              <w:jc w:val="center"/>
            </w:pPr>
          </w:p>
        </w:tc>
        <w:tc>
          <w:tcPr>
            <w:tcW w:w="1686" w:type="dxa"/>
            <w:gridSpan w:val="2"/>
            <w:shd w:val="clear" w:color="auto" w:fill="auto"/>
            <w:vAlign w:val="center"/>
            <w:hideMark/>
          </w:tcPr>
          <w:p w:rsidR="00E41334" w:rsidRPr="00F9310F" w:rsidRDefault="00E41334" w:rsidP="001709B8">
            <w:pPr>
              <w:pStyle w:val="Tblzat"/>
              <w:jc w:val="center"/>
            </w:pPr>
            <w:r w:rsidRPr="00F9310F">
              <w:t>15.98</w:t>
            </w:r>
          </w:p>
          <w:p w:rsidR="00E41334" w:rsidRPr="00F9310F" w:rsidRDefault="00E41334" w:rsidP="001709B8">
            <w:pPr>
              <w:pStyle w:val="Tblzat"/>
              <w:jc w:val="center"/>
            </w:pPr>
            <w:r w:rsidRPr="00F9310F">
              <w:t>(1.75)</w:t>
            </w:r>
          </w:p>
        </w:tc>
        <w:tc>
          <w:tcPr>
            <w:tcW w:w="90" w:type="dxa"/>
            <w:vAlign w:val="center"/>
          </w:tcPr>
          <w:p w:rsidR="00E41334" w:rsidRPr="00F9310F" w:rsidRDefault="00E41334" w:rsidP="001709B8">
            <w:pPr>
              <w:pStyle w:val="Tblzat"/>
              <w:jc w:val="center"/>
            </w:pPr>
          </w:p>
        </w:tc>
        <w:tc>
          <w:tcPr>
            <w:tcW w:w="1574" w:type="dxa"/>
            <w:gridSpan w:val="2"/>
            <w:shd w:val="clear" w:color="auto" w:fill="auto"/>
            <w:vAlign w:val="center"/>
            <w:hideMark/>
          </w:tcPr>
          <w:p w:rsidR="00E41334" w:rsidRPr="00F9310F" w:rsidRDefault="00E41334" w:rsidP="001709B8">
            <w:pPr>
              <w:pStyle w:val="Tblzat"/>
              <w:jc w:val="center"/>
            </w:pPr>
            <w:r w:rsidRPr="00F9310F">
              <w:t>15.97</w:t>
            </w:r>
          </w:p>
          <w:p w:rsidR="00E41334" w:rsidRPr="00F9310F" w:rsidRDefault="00E41334" w:rsidP="001709B8">
            <w:pPr>
              <w:pStyle w:val="Tblzat"/>
              <w:jc w:val="center"/>
            </w:pPr>
            <w:r w:rsidRPr="00F9310F">
              <w:t>(1.89)</w:t>
            </w:r>
          </w:p>
        </w:tc>
        <w:tc>
          <w:tcPr>
            <w:tcW w:w="90" w:type="dxa"/>
            <w:vAlign w:val="center"/>
          </w:tcPr>
          <w:p w:rsidR="00E41334" w:rsidRPr="00F9310F" w:rsidRDefault="00E41334" w:rsidP="001709B8">
            <w:pPr>
              <w:pStyle w:val="Tblzat"/>
              <w:jc w:val="center"/>
            </w:pPr>
          </w:p>
        </w:tc>
        <w:tc>
          <w:tcPr>
            <w:tcW w:w="1446" w:type="dxa"/>
            <w:gridSpan w:val="2"/>
            <w:shd w:val="clear" w:color="auto" w:fill="auto"/>
            <w:vAlign w:val="center"/>
            <w:hideMark/>
          </w:tcPr>
          <w:p w:rsidR="00E41334" w:rsidRPr="00F9310F" w:rsidRDefault="00E41334" w:rsidP="001709B8">
            <w:pPr>
              <w:pStyle w:val="Tblzat"/>
              <w:jc w:val="center"/>
            </w:pPr>
            <w:r w:rsidRPr="00F9310F">
              <w:t>15.65</w:t>
            </w:r>
          </w:p>
          <w:p w:rsidR="00E41334" w:rsidRPr="00F9310F" w:rsidRDefault="00E41334" w:rsidP="001709B8">
            <w:pPr>
              <w:pStyle w:val="Tblzat"/>
              <w:jc w:val="center"/>
            </w:pPr>
            <w:r w:rsidRPr="00F9310F">
              <w:t>(1.56)</w:t>
            </w: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General competence</w:t>
            </w:r>
          </w:p>
        </w:tc>
        <w:tc>
          <w:tcPr>
            <w:tcW w:w="1132" w:type="dxa"/>
            <w:shd w:val="clear" w:color="auto" w:fill="auto"/>
            <w:vAlign w:val="center"/>
            <w:hideMark/>
          </w:tcPr>
          <w:p w:rsidR="00E41334" w:rsidRPr="00F9310F" w:rsidRDefault="00E41334" w:rsidP="001709B8">
            <w:pPr>
              <w:pStyle w:val="Tblzat"/>
              <w:jc w:val="center"/>
            </w:pPr>
            <w:r w:rsidRPr="00F9310F">
              <w:t>3.45</w:t>
            </w:r>
          </w:p>
          <w:p w:rsidR="00E41334" w:rsidRPr="00F9310F" w:rsidRDefault="00E41334" w:rsidP="001709B8">
            <w:pPr>
              <w:pStyle w:val="Tblzat"/>
              <w:jc w:val="center"/>
            </w:pPr>
            <w:r w:rsidRPr="00F9310F">
              <w:t>(0.56)</w:t>
            </w:r>
          </w:p>
        </w:tc>
        <w:tc>
          <w:tcPr>
            <w:tcW w:w="913" w:type="dxa"/>
            <w:shd w:val="clear" w:color="auto" w:fill="auto"/>
            <w:vAlign w:val="center"/>
            <w:hideMark/>
          </w:tcPr>
          <w:p w:rsidR="00E41334" w:rsidRPr="00F9310F" w:rsidRDefault="00E41334" w:rsidP="001709B8">
            <w:pPr>
              <w:pStyle w:val="Tblzat"/>
              <w:jc w:val="center"/>
            </w:pPr>
            <w:r w:rsidRPr="00F9310F">
              <w:t>3.73</w:t>
            </w:r>
          </w:p>
          <w:p w:rsidR="00E41334" w:rsidRPr="00F9310F" w:rsidRDefault="00E41334" w:rsidP="001709B8">
            <w:pPr>
              <w:pStyle w:val="Tblzat"/>
              <w:jc w:val="center"/>
            </w:pPr>
            <w:r w:rsidRPr="00F9310F">
              <w:t>(0.53)</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3.77</w:t>
            </w:r>
          </w:p>
          <w:p w:rsidR="00E41334" w:rsidRPr="00F9310F" w:rsidRDefault="00E41334" w:rsidP="001709B8">
            <w:pPr>
              <w:pStyle w:val="Tblzat"/>
              <w:jc w:val="center"/>
            </w:pPr>
            <w:r w:rsidRPr="00F9310F">
              <w:t>(0.57)</w:t>
            </w:r>
          </w:p>
        </w:tc>
        <w:tc>
          <w:tcPr>
            <w:tcW w:w="843" w:type="dxa"/>
            <w:shd w:val="clear" w:color="auto" w:fill="auto"/>
            <w:vAlign w:val="center"/>
            <w:hideMark/>
          </w:tcPr>
          <w:p w:rsidR="00E41334" w:rsidRPr="00F9310F" w:rsidRDefault="00E41334" w:rsidP="001709B8">
            <w:pPr>
              <w:pStyle w:val="Tblzat"/>
              <w:jc w:val="center"/>
            </w:pPr>
            <w:r w:rsidRPr="00F9310F">
              <w:t>4.01</w:t>
            </w:r>
          </w:p>
          <w:p w:rsidR="00E41334" w:rsidRPr="00F9310F" w:rsidRDefault="00E41334" w:rsidP="001709B8">
            <w:pPr>
              <w:pStyle w:val="Tblzat"/>
              <w:jc w:val="center"/>
            </w:pPr>
            <w:r w:rsidRPr="00F9310F">
              <w:t>(0.61)</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4.02</w:t>
            </w:r>
          </w:p>
          <w:p w:rsidR="00E41334" w:rsidRPr="00F9310F" w:rsidRDefault="00E41334" w:rsidP="001709B8">
            <w:pPr>
              <w:pStyle w:val="Tblzat"/>
              <w:jc w:val="center"/>
            </w:pPr>
            <w:r w:rsidRPr="00F9310F">
              <w:t>(0.58)</w:t>
            </w:r>
          </w:p>
        </w:tc>
        <w:tc>
          <w:tcPr>
            <w:tcW w:w="787" w:type="dxa"/>
            <w:shd w:val="clear" w:color="auto" w:fill="auto"/>
            <w:vAlign w:val="center"/>
            <w:hideMark/>
          </w:tcPr>
          <w:p w:rsidR="00E41334" w:rsidRPr="00F9310F" w:rsidRDefault="00E41334" w:rsidP="001709B8">
            <w:pPr>
              <w:pStyle w:val="Tblzat"/>
              <w:jc w:val="center"/>
            </w:pPr>
            <w:r w:rsidRPr="00F9310F">
              <w:t>3.64</w:t>
            </w:r>
          </w:p>
          <w:p w:rsidR="00E41334" w:rsidRPr="00F9310F" w:rsidRDefault="00E41334" w:rsidP="001709B8">
            <w:pPr>
              <w:pStyle w:val="Tblzat"/>
              <w:jc w:val="center"/>
            </w:pPr>
            <w:r w:rsidRPr="00F9310F">
              <w:t>(0.50)</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rPr>
                <w:rFonts w:eastAsia="PMingLiU"/>
                <w:lang w:eastAsia="zh-TW"/>
              </w:rPr>
            </w:pPr>
            <w:r w:rsidRPr="00F9310F">
              <w:t>3.</w:t>
            </w:r>
            <w:r w:rsidRPr="00F9310F">
              <w:rPr>
                <w:rFonts w:eastAsia="PMingLiU"/>
                <w:lang w:eastAsia="zh-TW"/>
              </w:rPr>
              <w:t>51</w:t>
            </w:r>
          </w:p>
          <w:p w:rsidR="00E41334" w:rsidRPr="00F9310F" w:rsidRDefault="00E41334" w:rsidP="001709B8">
            <w:pPr>
              <w:pStyle w:val="Tblzat"/>
              <w:jc w:val="center"/>
            </w:pPr>
            <w:r w:rsidRPr="00F9310F">
              <w:t>(0.5</w:t>
            </w:r>
            <w:r w:rsidRPr="00F9310F">
              <w:rPr>
                <w:rFonts w:eastAsia="PMingLiU"/>
                <w:lang w:eastAsia="zh-TW"/>
              </w:rPr>
              <w:t>6</w:t>
            </w:r>
            <w:r w:rsidRPr="00F9310F">
              <w:t>)</w:t>
            </w:r>
          </w:p>
        </w:tc>
        <w:tc>
          <w:tcPr>
            <w:tcW w:w="723" w:type="dxa"/>
            <w:shd w:val="clear" w:color="auto" w:fill="auto"/>
            <w:vAlign w:val="center"/>
            <w:hideMark/>
          </w:tcPr>
          <w:p w:rsidR="00E41334" w:rsidRPr="00F9310F" w:rsidRDefault="00E41334" w:rsidP="001709B8">
            <w:pPr>
              <w:pStyle w:val="Tblzat"/>
              <w:jc w:val="center"/>
              <w:rPr>
                <w:rFonts w:eastAsia="PMingLiU"/>
                <w:lang w:eastAsia="zh-TW"/>
              </w:rPr>
            </w:pPr>
            <w:r w:rsidRPr="00F9310F">
              <w:rPr>
                <w:rFonts w:eastAsia="PMingLiU"/>
                <w:lang w:eastAsia="zh-TW"/>
              </w:rPr>
              <w:t>3.59</w:t>
            </w:r>
          </w:p>
          <w:p w:rsidR="00E41334" w:rsidRPr="00F9310F" w:rsidRDefault="00E41334" w:rsidP="001709B8">
            <w:pPr>
              <w:pStyle w:val="Tblzat"/>
              <w:jc w:val="center"/>
            </w:pPr>
            <w:r w:rsidRPr="00F9310F">
              <w:t>(0.</w:t>
            </w:r>
            <w:r w:rsidRPr="00F9310F">
              <w:rPr>
                <w:rFonts w:eastAsia="PMingLiU"/>
                <w:lang w:eastAsia="zh-TW"/>
              </w:rPr>
              <w:t>46</w:t>
            </w:r>
            <w:r w:rsidRPr="00F9310F">
              <w:t>)</w:t>
            </w:r>
          </w:p>
        </w:tc>
      </w:tr>
      <w:tr w:rsidR="00E41334" w:rsidRPr="00F9310F" w:rsidTr="001709B8">
        <w:trPr>
          <w:trHeight w:val="28"/>
          <w:jc w:val="center"/>
        </w:trPr>
        <w:tc>
          <w:tcPr>
            <w:tcW w:w="2013" w:type="dxa"/>
            <w:shd w:val="clear" w:color="auto" w:fill="auto"/>
            <w:noWrap/>
            <w:vAlign w:val="center"/>
            <w:hideMark/>
          </w:tcPr>
          <w:p w:rsidR="00E41334" w:rsidRPr="00F9310F" w:rsidRDefault="00E41334" w:rsidP="001709B8">
            <w:pPr>
              <w:pStyle w:val="Tblzat"/>
            </w:pPr>
            <w:r w:rsidRPr="00F9310F">
              <w:t>Total persistence</w:t>
            </w:r>
          </w:p>
        </w:tc>
        <w:tc>
          <w:tcPr>
            <w:tcW w:w="1132" w:type="dxa"/>
            <w:shd w:val="clear" w:color="auto" w:fill="auto"/>
            <w:vAlign w:val="center"/>
            <w:hideMark/>
          </w:tcPr>
          <w:p w:rsidR="00E41334" w:rsidRPr="00F9310F" w:rsidRDefault="00E41334" w:rsidP="001709B8">
            <w:pPr>
              <w:pStyle w:val="Tblzat"/>
              <w:jc w:val="center"/>
            </w:pPr>
            <w:r w:rsidRPr="00F9310F">
              <w:t>3.74</w:t>
            </w:r>
          </w:p>
          <w:p w:rsidR="00E41334" w:rsidRPr="00F9310F" w:rsidRDefault="00E41334" w:rsidP="001709B8">
            <w:pPr>
              <w:pStyle w:val="Tblzat"/>
              <w:jc w:val="center"/>
            </w:pPr>
            <w:r w:rsidRPr="00F9310F">
              <w:t>(0.51)</w:t>
            </w:r>
          </w:p>
        </w:tc>
        <w:tc>
          <w:tcPr>
            <w:tcW w:w="913" w:type="dxa"/>
            <w:shd w:val="clear" w:color="auto" w:fill="auto"/>
            <w:noWrap/>
            <w:vAlign w:val="center"/>
            <w:hideMark/>
          </w:tcPr>
          <w:p w:rsidR="00E41334" w:rsidRPr="00F9310F" w:rsidRDefault="00E41334" w:rsidP="001709B8">
            <w:pPr>
              <w:pStyle w:val="Tblzat"/>
              <w:jc w:val="center"/>
            </w:pPr>
            <w:r w:rsidRPr="00F9310F">
              <w:t>3.70</w:t>
            </w:r>
          </w:p>
          <w:p w:rsidR="00E41334" w:rsidRPr="00F9310F" w:rsidRDefault="00E41334" w:rsidP="001709B8">
            <w:pPr>
              <w:pStyle w:val="Tblzat"/>
              <w:jc w:val="center"/>
            </w:pPr>
            <w:r w:rsidRPr="00F9310F">
              <w:t>(0.51)</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3.73</w:t>
            </w:r>
          </w:p>
          <w:p w:rsidR="00E41334" w:rsidRPr="00F9310F" w:rsidRDefault="00E41334" w:rsidP="001709B8">
            <w:pPr>
              <w:pStyle w:val="Tblzat"/>
              <w:jc w:val="center"/>
            </w:pPr>
            <w:r w:rsidRPr="00F9310F">
              <w:t>(0.46)</w:t>
            </w:r>
          </w:p>
        </w:tc>
        <w:tc>
          <w:tcPr>
            <w:tcW w:w="843" w:type="dxa"/>
            <w:shd w:val="clear" w:color="auto" w:fill="auto"/>
            <w:noWrap/>
            <w:vAlign w:val="center"/>
            <w:hideMark/>
          </w:tcPr>
          <w:p w:rsidR="00E41334" w:rsidRPr="00F9310F" w:rsidRDefault="00E41334" w:rsidP="001709B8">
            <w:pPr>
              <w:pStyle w:val="Tblzat"/>
              <w:jc w:val="center"/>
            </w:pPr>
            <w:r w:rsidRPr="00F9310F">
              <w:t>3.80</w:t>
            </w:r>
          </w:p>
          <w:p w:rsidR="00E41334" w:rsidRPr="00F9310F" w:rsidRDefault="00E41334" w:rsidP="001709B8">
            <w:pPr>
              <w:pStyle w:val="Tblzat"/>
              <w:jc w:val="center"/>
            </w:pPr>
            <w:r w:rsidRPr="00F9310F">
              <w:t>(0.39)</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3.82</w:t>
            </w:r>
          </w:p>
          <w:p w:rsidR="00E41334" w:rsidRPr="00F9310F" w:rsidRDefault="00E41334" w:rsidP="001709B8">
            <w:pPr>
              <w:pStyle w:val="Tblzat"/>
              <w:jc w:val="center"/>
            </w:pPr>
            <w:r w:rsidRPr="00F9310F">
              <w:t>(0.39)</w:t>
            </w:r>
          </w:p>
        </w:tc>
        <w:tc>
          <w:tcPr>
            <w:tcW w:w="787" w:type="dxa"/>
            <w:shd w:val="clear" w:color="auto" w:fill="auto"/>
            <w:noWrap/>
            <w:vAlign w:val="center"/>
            <w:hideMark/>
          </w:tcPr>
          <w:p w:rsidR="00E41334" w:rsidRPr="00F9310F" w:rsidRDefault="00E41334" w:rsidP="001709B8">
            <w:pPr>
              <w:pStyle w:val="Tblzat"/>
              <w:jc w:val="center"/>
            </w:pPr>
            <w:r w:rsidRPr="00F9310F">
              <w:t>3.79</w:t>
            </w:r>
          </w:p>
          <w:p w:rsidR="00E41334" w:rsidRPr="00F9310F" w:rsidRDefault="00E41334" w:rsidP="001709B8">
            <w:pPr>
              <w:pStyle w:val="Tblzat"/>
              <w:jc w:val="center"/>
            </w:pPr>
            <w:r w:rsidRPr="00F9310F">
              <w:t>(0.39)</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pPr>
            <w:r w:rsidRPr="00F9310F">
              <w:t>3.</w:t>
            </w:r>
            <w:r w:rsidRPr="00F9310F">
              <w:rPr>
                <w:rFonts w:eastAsia="PMingLiU"/>
                <w:lang w:eastAsia="zh-TW"/>
              </w:rPr>
              <w:t>8</w:t>
            </w:r>
            <w:r w:rsidRPr="00F9310F">
              <w:t>3</w:t>
            </w:r>
          </w:p>
          <w:p w:rsidR="00E41334" w:rsidRPr="00F9310F" w:rsidRDefault="00E41334" w:rsidP="001709B8">
            <w:pPr>
              <w:pStyle w:val="Tblzat"/>
              <w:jc w:val="center"/>
            </w:pPr>
            <w:r w:rsidRPr="00F9310F">
              <w:t>(0.4</w:t>
            </w:r>
            <w:r w:rsidRPr="00F9310F">
              <w:rPr>
                <w:rFonts w:eastAsia="PMingLiU"/>
                <w:lang w:eastAsia="zh-TW"/>
              </w:rPr>
              <w:t>8</w:t>
            </w:r>
            <w:r w:rsidRPr="00F9310F">
              <w:t>)</w:t>
            </w:r>
          </w:p>
        </w:tc>
        <w:tc>
          <w:tcPr>
            <w:tcW w:w="723" w:type="dxa"/>
            <w:shd w:val="clear" w:color="auto" w:fill="auto"/>
            <w:noWrap/>
            <w:vAlign w:val="center"/>
            <w:hideMark/>
          </w:tcPr>
          <w:p w:rsidR="00E41334" w:rsidRPr="00F9310F" w:rsidRDefault="00E41334" w:rsidP="001709B8">
            <w:pPr>
              <w:pStyle w:val="Tblzat"/>
              <w:jc w:val="center"/>
            </w:pPr>
            <w:r w:rsidRPr="00F9310F">
              <w:t>3.79</w:t>
            </w:r>
          </w:p>
          <w:p w:rsidR="00E41334" w:rsidRPr="00F9310F" w:rsidRDefault="00E41334" w:rsidP="001709B8">
            <w:pPr>
              <w:pStyle w:val="Tblzat"/>
              <w:jc w:val="center"/>
            </w:pPr>
            <w:r w:rsidRPr="00F9310F">
              <w:t>(0.39)</w:t>
            </w:r>
          </w:p>
        </w:tc>
      </w:tr>
      <w:tr w:rsidR="00E41334" w:rsidRPr="00F9310F" w:rsidTr="001709B8">
        <w:trPr>
          <w:trHeight w:val="28"/>
          <w:jc w:val="center"/>
        </w:trPr>
        <w:tc>
          <w:tcPr>
            <w:tcW w:w="2013" w:type="dxa"/>
            <w:shd w:val="clear" w:color="auto" w:fill="auto"/>
            <w:vAlign w:val="center"/>
          </w:tcPr>
          <w:p w:rsidR="00E41334" w:rsidRPr="00F9310F" w:rsidRDefault="00E41334" w:rsidP="001709B8">
            <w:pPr>
              <w:pStyle w:val="Tblzat"/>
            </w:pPr>
            <w:r w:rsidRPr="00F9310F">
              <w:t>Instrumental aspects:</w:t>
            </w:r>
          </w:p>
        </w:tc>
        <w:tc>
          <w:tcPr>
            <w:tcW w:w="1132" w:type="dxa"/>
            <w:shd w:val="clear" w:color="auto" w:fill="auto"/>
            <w:vAlign w:val="center"/>
          </w:tcPr>
          <w:p w:rsidR="00E41334" w:rsidRPr="00F9310F" w:rsidRDefault="00E41334" w:rsidP="001709B8">
            <w:pPr>
              <w:pStyle w:val="Tblzat"/>
              <w:jc w:val="center"/>
            </w:pPr>
          </w:p>
        </w:tc>
        <w:tc>
          <w:tcPr>
            <w:tcW w:w="913" w:type="dxa"/>
            <w:shd w:val="clear" w:color="auto" w:fill="auto"/>
            <w:noWrap/>
            <w:vAlign w:val="center"/>
          </w:tcPr>
          <w:p w:rsidR="00E41334" w:rsidRPr="00F9310F" w:rsidRDefault="00E41334" w:rsidP="001709B8">
            <w:pPr>
              <w:pStyle w:val="Tblzat"/>
              <w:jc w:val="center"/>
            </w:pPr>
          </w:p>
        </w:tc>
        <w:tc>
          <w:tcPr>
            <w:tcW w:w="128" w:type="dxa"/>
            <w:vAlign w:val="center"/>
          </w:tcPr>
          <w:p w:rsidR="00E41334" w:rsidRPr="00F9310F" w:rsidRDefault="00E41334" w:rsidP="001709B8">
            <w:pPr>
              <w:pStyle w:val="Tblzat"/>
              <w:jc w:val="center"/>
            </w:pPr>
          </w:p>
        </w:tc>
        <w:tc>
          <w:tcPr>
            <w:tcW w:w="843" w:type="dxa"/>
            <w:shd w:val="clear" w:color="auto" w:fill="auto"/>
            <w:vAlign w:val="center"/>
          </w:tcPr>
          <w:p w:rsidR="00E41334" w:rsidRPr="00F9310F" w:rsidRDefault="00E41334" w:rsidP="001709B8">
            <w:pPr>
              <w:pStyle w:val="Tblzat"/>
              <w:jc w:val="center"/>
            </w:pPr>
          </w:p>
        </w:tc>
        <w:tc>
          <w:tcPr>
            <w:tcW w:w="843" w:type="dxa"/>
            <w:shd w:val="clear" w:color="auto" w:fill="auto"/>
            <w:noWrap/>
            <w:vAlign w:val="center"/>
          </w:tcPr>
          <w:p w:rsidR="00E41334" w:rsidRPr="00F9310F" w:rsidRDefault="00E41334" w:rsidP="001709B8">
            <w:pPr>
              <w:pStyle w:val="Tblzat"/>
              <w:jc w:val="center"/>
            </w:pPr>
          </w:p>
        </w:tc>
        <w:tc>
          <w:tcPr>
            <w:tcW w:w="90" w:type="dxa"/>
            <w:vAlign w:val="center"/>
          </w:tcPr>
          <w:p w:rsidR="00E41334" w:rsidRPr="00F9310F" w:rsidRDefault="00E41334" w:rsidP="001709B8">
            <w:pPr>
              <w:pStyle w:val="Tblzat"/>
              <w:jc w:val="center"/>
            </w:pPr>
          </w:p>
        </w:tc>
        <w:tc>
          <w:tcPr>
            <w:tcW w:w="787" w:type="dxa"/>
            <w:shd w:val="clear" w:color="auto" w:fill="auto"/>
            <w:vAlign w:val="center"/>
          </w:tcPr>
          <w:p w:rsidR="00E41334" w:rsidRPr="00F9310F" w:rsidRDefault="00E41334" w:rsidP="001709B8">
            <w:pPr>
              <w:pStyle w:val="Tblzat"/>
              <w:jc w:val="center"/>
            </w:pPr>
          </w:p>
        </w:tc>
        <w:tc>
          <w:tcPr>
            <w:tcW w:w="787" w:type="dxa"/>
            <w:shd w:val="clear" w:color="auto" w:fill="auto"/>
            <w:noWrap/>
            <w:vAlign w:val="center"/>
          </w:tcPr>
          <w:p w:rsidR="00E41334" w:rsidRPr="00F9310F" w:rsidRDefault="00E41334" w:rsidP="001709B8">
            <w:pPr>
              <w:pStyle w:val="Tblzat"/>
              <w:jc w:val="center"/>
            </w:pPr>
          </w:p>
        </w:tc>
        <w:tc>
          <w:tcPr>
            <w:tcW w:w="90" w:type="dxa"/>
            <w:vAlign w:val="center"/>
          </w:tcPr>
          <w:p w:rsidR="00E41334" w:rsidRPr="00F9310F" w:rsidRDefault="00E41334" w:rsidP="001709B8">
            <w:pPr>
              <w:pStyle w:val="Tblzat"/>
              <w:jc w:val="center"/>
            </w:pPr>
          </w:p>
        </w:tc>
        <w:tc>
          <w:tcPr>
            <w:tcW w:w="723" w:type="dxa"/>
            <w:shd w:val="clear" w:color="auto" w:fill="auto"/>
            <w:vAlign w:val="center"/>
          </w:tcPr>
          <w:p w:rsidR="00E41334" w:rsidRPr="00F9310F" w:rsidRDefault="00E41334" w:rsidP="001709B8">
            <w:pPr>
              <w:pStyle w:val="Tblzat"/>
              <w:jc w:val="center"/>
            </w:pPr>
          </w:p>
        </w:tc>
        <w:tc>
          <w:tcPr>
            <w:tcW w:w="723" w:type="dxa"/>
            <w:shd w:val="clear" w:color="auto" w:fill="auto"/>
            <w:noWrap/>
            <w:vAlign w:val="center"/>
          </w:tcPr>
          <w:p w:rsidR="00E41334" w:rsidRPr="00F9310F" w:rsidRDefault="00E41334" w:rsidP="001709B8">
            <w:pPr>
              <w:pStyle w:val="Tblzat"/>
              <w:jc w:val="center"/>
            </w:pP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Object-oriented persistence</w:t>
            </w:r>
          </w:p>
        </w:tc>
        <w:tc>
          <w:tcPr>
            <w:tcW w:w="1132" w:type="dxa"/>
            <w:shd w:val="clear" w:color="auto" w:fill="auto"/>
            <w:vAlign w:val="center"/>
            <w:hideMark/>
          </w:tcPr>
          <w:p w:rsidR="00E41334" w:rsidRPr="00F9310F" w:rsidRDefault="00E41334" w:rsidP="001709B8">
            <w:pPr>
              <w:pStyle w:val="Tblzat"/>
              <w:jc w:val="center"/>
            </w:pPr>
            <w:r w:rsidRPr="00F9310F">
              <w:t>3.37</w:t>
            </w:r>
          </w:p>
          <w:p w:rsidR="00E41334" w:rsidRPr="00F9310F" w:rsidRDefault="00E41334" w:rsidP="001709B8">
            <w:pPr>
              <w:pStyle w:val="Tblzat"/>
              <w:jc w:val="center"/>
            </w:pPr>
            <w:r w:rsidRPr="00F9310F">
              <w:t>(0.53)</w:t>
            </w:r>
          </w:p>
        </w:tc>
        <w:tc>
          <w:tcPr>
            <w:tcW w:w="913" w:type="dxa"/>
            <w:shd w:val="clear" w:color="auto" w:fill="auto"/>
            <w:noWrap/>
            <w:vAlign w:val="center"/>
            <w:hideMark/>
          </w:tcPr>
          <w:p w:rsidR="00E41334" w:rsidRPr="00F9310F" w:rsidRDefault="00E41334" w:rsidP="001709B8">
            <w:pPr>
              <w:pStyle w:val="Tblzat"/>
              <w:jc w:val="center"/>
            </w:pPr>
            <w:r w:rsidRPr="00F9310F">
              <w:t>3.42</w:t>
            </w:r>
          </w:p>
          <w:p w:rsidR="00E41334" w:rsidRPr="00F9310F" w:rsidRDefault="00E41334" w:rsidP="001709B8">
            <w:pPr>
              <w:pStyle w:val="Tblzat"/>
              <w:jc w:val="center"/>
            </w:pPr>
            <w:r w:rsidRPr="00F9310F">
              <w:t>(0.57)</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3.48</w:t>
            </w:r>
          </w:p>
          <w:p w:rsidR="00E41334" w:rsidRPr="00F9310F" w:rsidRDefault="00E41334" w:rsidP="001709B8">
            <w:pPr>
              <w:pStyle w:val="Tblzat"/>
              <w:jc w:val="center"/>
            </w:pPr>
            <w:r w:rsidRPr="00F9310F">
              <w:t>(0.48)</w:t>
            </w:r>
          </w:p>
        </w:tc>
        <w:tc>
          <w:tcPr>
            <w:tcW w:w="843" w:type="dxa"/>
            <w:shd w:val="clear" w:color="auto" w:fill="auto"/>
            <w:noWrap/>
            <w:vAlign w:val="center"/>
            <w:hideMark/>
          </w:tcPr>
          <w:p w:rsidR="00E41334" w:rsidRPr="00F9310F" w:rsidRDefault="00E41334" w:rsidP="001709B8">
            <w:pPr>
              <w:pStyle w:val="Tblzat"/>
              <w:jc w:val="center"/>
            </w:pPr>
            <w:r w:rsidRPr="00F9310F">
              <w:t>3.59</w:t>
            </w:r>
          </w:p>
          <w:p w:rsidR="00E41334" w:rsidRPr="00F9310F" w:rsidRDefault="00E41334" w:rsidP="001709B8">
            <w:pPr>
              <w:pStyle w:val="Tblzat"/>
              <w:jc w:val="center"/>
            </w:pPr>
            <w:r w:rsidRPr="00F9310F">
              <w:t>(0.64)</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3.74</w:t>
            </w:r>
          </w:p>
          <w:p w:rsidR="00E41334" w:rsidRPr="00F9310F" w:rsidRDefault="00E41334" w:rsidP="001709B8">
            <w:pPr>
              <w:pStyle w:val="Tblzat"/>
              <w:jc w:val="center"/>
            </w:pPr>
            <w:r w:rsidRPr="00F9310F">
              <w:t>(0.58)</w:t>
            </w:r>
          </w:p>
        </w:tc>
        <w:tc>
          <w:tcPr>
            <w:tcW w:w="787" w:type="dxa"/>
            <w:shd w:val="clear" w:color="auto" w:fill="auto"/>
            <w:noWrap/>
            <w:vAlign w:val="center"/>
            <w:hideMark/>
          </w:tcPr>
          <w:p w:rsidR="00E41334" w:rsidRPr="00F9310F" w:rsidRDefault="00E41334" w:rsidP="001709B8">
            <w:pPr>
              <w:pStyle w:val="Tblzat"/>
              <w:jc w:val="center"/>
            </w:pPr>
            <w:r w:rsidRPr="00F9310F">
              <w:t>3.59</w:t>
            </w:r>
          </w:p>
          <w:p w:rsidR="00E41334" w:rsidRPr="00F9310F" w:rsidRDefault="00E41334" w:rsidP="001709B8">
            <w:pPr>
              <w:pStyle w:val="Tblzat"/>
              <w:jc w:val="center"/>
            </w:pPr>
            <w:r w:rsidRPr="00F9310F">
              <w:t>(0.53)</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pPr>
            <w:r w:rsidRPr="00F9310F">
              <w:t>3.45</w:t>
            </w:r>
          </w:p>
          <w:p w:rsidR="00E41334" w:rsidRPr="00F9310F" w:rsidRDefault="00E41334" w:rsidP="001709B8">
            <w:pPr>
              <w:pStyle w:val="Tblzat"/>
              <w:jc w:val="center"/>
            </w:pPr>
            <w:r w:rsidRPr="00F9310F">
              <w:t>(0.51)</w:t>
            </w:r>
          </w:p>
        </w:tc>
        <w:tc>
          <w:tcPr>
            <w:tcW w:w="723" w:type="dxa"/>
            <w:shd w:val="clear" w:color="auto" w:fill="auto"/>
            <w:noWrap/>
            <w:vAlign w:val="center"/>
            <w:hideMark/>
          </w:tcPr>
          <w:p w:rsidR="00E41334" w:rsidRPr="00F9310F" w:rsidRDefault="00E41334" w:rsidP="001709B8">
            <w:pPr>
              <w:pStyle w:val="Tblzat"/>
              <w:jc w:val="center"/>
            </w:pPr>
            <w:r w:rsidRPr="00F9310F">
              <w:t>3.45</w:t>
            </w:r>
          </w:p>
          <w:p w:rsidR="00E41334" w:rsidRPr="00F9310F" w:rsidRDefault="00E41334" w:rsidP="001709B8">
            <w:pPr>
              <w:pStyle w:val="Tblzat"/>
              <w:jc w:val="center"/>
            </w:pPr>
            <w:r w:rsidRPr="00F9310F">
              <w:t>(0.49)</w:t>
            </w: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Gross motor persistence</w:t>
            </w:r>
          </w:p>
        </w:tc>
        <w:tc>
          <w:tcPr>
            <w:tcW w:w="1132" w:type="dxa"/>
            <w:shd w:val="clear" w:color="auto" w:fill="auto"/>
            <w:vAlign w:val="center"/>
            <w:hideMark/>
          </w:tcPr>
          <w:p w:rsidR="00E41334" w:rsidRPr="00F9310F" w:rsidRDefault="00E41334" w:rsidP="001709B8">
            <w:pPr>
              <w:pStyle w:val="Tblzat"/>
              <w:jc w:val="center"/>
            </w:pPr>
            <w:r w:rsidRPr="00F9310F">
              <w:t>3.67</w:t>
            </w:r>
          </w:p>
          <w:p w:rsidR="00E41334" w:rsidRPr="00F9310F" w:rsidRDefault="00E41334" w:rsidP="001709B8">
            <w:pPr>
              <w:pStyle w:val="Tblzat"/>
              <w:jc w:val="center"/>
            </w:pPr>
            <w:r w:rsidRPr="00F9310F">
              <w:t>(0.59)</w:t>
            </w:r>
          </w:p>
        </w:tc>
        <w:tc>
          <w:tcPr>
            <w:tcW w:w="913" w:type="dxa"/>
            <w:shd w:val="clear" w:color="auto" w:fill="auto"/>
            <w:noWrap/>
            <w:vAlign w:val="center"/>
            <w:hideMark/>
          </w:tcPr>
          <w:p w:rsidR="00E41334" w:rsidRPr="00F9310F" w:rsidRDefault="00E41334" w:rsidP="001709B8">
            <w:pPr>
              <w:pStyle w:val="Tblzat"/>
              <w:jc w:val="center"/>
            </w:pPr>
            <w:r w:rsidRPr="00F9310F">
              <w:t>3.71</w:t>
            </w:r>
          </w:p>
          <w:p w:rsidR="00E41334" w:rsidRPr="00F9310F" w:rsidRDefault="00E41334" w:rsidP="001709B8">
            <w:pPr>
              <w:pStyle w:val="Tblzat"/>
              <w:jc w:val="center"/>
            </w:pPr>
            <w:r w:rsidRPr="00F9310F">
              <w:t>(0.59)</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3.80</w:t>
            </w:r>
          </w:p>
          <w:p w:rsidR="00E41334" w:rsidRPr="00F9310F" w:rsidRDefault="00E41334" w:rsidP="001709B8">
            <w:pPr>
              <w:pStyle w:val="Tblzat"/>
              <w:jc w:val="center"/>
            </w:pPr>
            <w:r w:rsidRPr="00F9310F">
              <w:t>(0.54)</w:t>
            </w:r>
          </w:p>
        </w:tc>
        <w:tc>
          <w:tcPr>
            <w:tcW w:w="843" w:type="dxa"/>
            <w:shd w:val="clear" w:color="auto" w:fill="auto"/>
            <w:noWrap/>
            <w:vAlign w:val="center"/>
            <w:hideMark/>
          </w:tcPr>
          <w:p w:rsidR="00E41334" w:rsidRPr="00F9310F" w:rsidRDefault="00E41334" w:rsidP="001709B8">
            <w:pPr>
              <w:pStyle w:val="Tblzat"/>
              <w:jc w:val="center"/>
            </w:pPr>
            <w:r w:rsidRPr="00F9310F">
              <w:t>3.82</w:t>
            </w:r>
          </w:p>
          <w:p w:rsidR="00E41334" w:rsidRPr="00F9310F" w:rsidRDefault="00E41334" w:rsidP="001709B8">
            <w:pPr>
              <w:pStyle w:val="Tblzat"/>
              <w:jc w:val="center"/>
            </w:pPr>
            <w:r w:rsidRPr="00F9310F">
              <w:t>(0.46)</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3.79</w:t>
            </w:r>
          </w:p>
          <w:p w:rsidR="00E41334" w:rsidRPr="00F9310F" w:rsidRDefault="00E41334" w:rsidP="001709B8">
            <w:pPr>
              <w:pStyle w:val="Tblzat"/>
              <w:jc w:val="center"/>
            </w:pPr>
            <w:r w:rsidRPr="00F9310F">
              <w:t>(0.46)</w:t>
            </w:r>
          </w:p>
        </w:tc>
        <w:tc>
          <w:tcPr>
            <w:tcW w:w="787" w:type="dxa"/>
            <w:shd w:val="clear" w:color="auto" w:fill="auto"/>
            <w:noWrap/>
            <w:vAlign w:val="center"/>
            <w:hideMark/>
          </w:tcPr>
          <w:p w:rsidR="00E41334" w:rsidRPr="00F9310F" w:rsidRDefault="00E41334" w:rsidP="001709B8">
            <w:pPr>
              <w:pStyle w:val="Tblzat"/>
              <w:jc w:val="center"/>
            </w:pPr>
            <w:r w:rsidRPr="00F9310F">
              <w:t>3.53</w:t>
            </w:r>
          </w:p>
          <w:p w:rsidR="00E41334" w:rsidRPr="00F9310F" w:rsidRDefault="00E41334" w:rsidP="001709B8">
            <w:pPr>
              <w:pStyle w:val="Tblzat"/>
              <w:jc w:val="center"/>
            </w:pPr>
            <w:r w:rsidRPr="00F9310F">
              <w:t>(0.65)</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pPr>
            <w:r w:rsidRPr="00F9310F">
              <w:t>3.75</w:t>
            </w:r>
          </w:p>
          <w:p w:rsidR="00E41334" w:rsidRPr="00F9310F" w:rsidRDefault="00E41334" w:rsidP="001709B8">
            <w:pPr>
              <w:pStyle w:val="Tblzat"/>
              <w:jc w:val="center"/>
            </w:pPr>
            <w:r w:rsidRPr="00F9310F">
              <w:t>(0.58)</w:t>
            </w:r>
          </w:p>
        </w:tc>
        <w:tc>
          <w:tcPr>
            <w:tcW w:w="723" w:type="dxa"/>
            <w:shd w:val="clear" w:color="auto" w:fill="auto"/>
            <w:noWrap/>
            <w:vAlign w:val="center"/>
            <w:hideMark/>
          </w:tcPr>
          <w:p w:rsidR="00E41334" w:rsidRPr="00F9310F" w:rsidRDefault="00E41334" w:rsidP="001709B8">
            <w:pPr>
              <w:pStyle w:val="Tblzat"/>
              <w:jc w:val="center"/>
            </w:pPr>
            <w:r w:rsidRPr="00F9310F">
              <w:t>3.64</w:t>
            </w:r>
          </w:p>
          <w:p w:rsidR="00E41334" w:rsidRPr="00F9310F" w:rsidRDefault="00E41334" w:rsidP="001709B8">
            <w:pPr>
              <w:pStyle w:val="Tblzat"/>
              <w:jc w:val="center"/>
            </w:pPr>
            <w:r w:rsidRPr="00F9310F">
              <w:t>(0.58)</w:t>
            </w: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Social persistence (with adults)</w:t>
            </w:r>
          </w:p>
        </w:tc>
        <w:tc>
          <w:tcPr>
            <w:tcW w:w="1132" w:type="dxa"/>
            <w:shd w:val="clear" w:color="auto" w:fill="auto"/>
            <w:vAlign w:val="center"/>
            <w:hideMark/>
          </w:tcPr>
          <w:p w:rsidR="00E41334" w:rsidRPr="00F9310F" w:rsidRDefault="00E41334" w:rsidP="001709B8">
            <w:pPr>
              <w:pStyle w:val="Tblzat"/>
              <w:jc w:val="center"/>
            </w:pPr>
            <w:r w:rsidRPr="00F9310F">
              <w:t>4.03</w:t>
            </w:r>
          </w:p>
          <w:p w:rsidR="00E41334" w:rsidRPr="00F9310F" w:rsidRDefault="00E41334" w:rsidP="001709B8">
            <w:pPr>
              <w:pStyle w:val="Tblzat"/>
              <w:jc w:val="center"/>
            </w:pPr>
            <w:r w:rsidRPr="00F9310F">
              <w:t>(0.60)</w:t>
            </w:r>
          </w:p>
        </w:tc>
        <w:tc>
          <w:tcPr>
            <w:tcW w:w="913" w:type="dxa"/>
            <w:shd w:val="clear" w:color="auto" w:fill="auto"/>
            <w:noWrap/>
            <w:vAlign w:val="center"/>
            <w:hideMark/>
          </w:tcPr>
          <w:p w:rsidR="00E41334" w:rsidRPr="00F9310F" w:rsidRDefault="00E41334" w:rsidP="001709B8">
            <w:pPr>
              <w:pStyle w:val="Tblzat"/>
              <w:jc w:val="center"/>
            </w:pPr>
            <w:r w:rsidRPr="00F9310F">
              <w:t>4.06</w:t>
            </w:r>
          </w:p>
          <w:p w:rsidR="00E41334" w:rsidRPr="00F9310F" w:rsidRDefault="00E41334" w:rsidP="001709B8">
            <w:pPr>
              <w:pStyle w:val="Tblzat"/>
              <w:jc w:val="center"/>
            </w:pPr>
            <w:r w:rsidRPr="00F9310F">
              <w:t>(0.60)</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3.96</w:t>
            </w:r>
          </w:p>
          <w:p w:rsidR="00E41334" w:rsidRPr="00F9310F" w:rsidRDefault="00E41334" w:rsidP="001709B8">
            <w:pPr>
              <w:pStyle w:val="Tblzat"/>
              <w:jc w:val="center"/>
            </w:pPr>
            <w:r w:rsidRPr="00F9310F">
              <w:t>(.65)</w:t>
            </w:r>
          </w:p>
        </w:tc>
        <w:tc>
          <w:tcPr>
            <w:tcW w:w="843" w:type="dxa"/>
            <w:shd w:val="clear" w:color="auto" w:fill="auto"/>
            <w:noWrap/>
            <w:vAlign w:val="center"/>
            <w:hideMark/>
          </w:tcPr>
          <w:p w:rsidR="00E41334" w:rsidRPr="00F9310F" w:rsidRDefault="00E41334" w:rsidP="001709B8">
            <w:pPr>
              <w:pStyle w:val="Tblzat"/>
              <w:jc w:val="center"/>
            </w:pPr>
            <w:r w:rsidRPr="00F9310F">
              <w:t>4.19</w:t>
            </w:r>
          </w:p>
          <w:p w:rsidR="00E41334" w:rsidRPr="00F9310F" w:rsidRDefault="00E41334" w:rsidP="001709B8">
            <w:pPr>
              <w:pStyle w:val="Tblzat"/>
              <w:jc w:val="center"/>
            </w:pPr>
            <w:r w:rsidRPr="00F9310F">
              <w:t>(0.41)</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4.18</w:t>
            </w:r>
          </w:p>
          <w:p w:rsidR="00E41334" w:rsidRPr="00F9310F" w:rsidRDefault="00E41334" w:rsidP="001709B8">
            <w:pPr>
              <w:pStyle w:val="Tblzat"/>
              <w:jc w:val="center"/>
            </w:pPr>
            <w:r w:rsidRPr="00F9310F">
              <w:t>(0.45)</w:t>
            </w:r>
          </w:p>
        </w:tc>
        <w:tc>
          <w:tcPr>
            <w:tcW w:w="787" w:type="dxa"/>
            <w:shd w:val="clear" w:color="auto" w:fill="auto"/>
            <w:noWrap/>
            <w:vAlign w:val="center"/>
            <w:hideMark/>
          </w:tcPr>
          <w:p w:rsidR="00E41334" w:rsidRPr="00F9310F" w:rsidRDefault="00E41334" w:rsidP="001709B8">
            <w:pPr>
              <w:pStyle w:val="Tblzat"/>
              <w:jc w:val="center"/>
            </w:pPr>
            <w:r w:rsidRPr="00F9310F">
              <w:t>4.23</w:t>
            </w:r>
          </w:p>
          <w:p w:rsidR="00E41334" w:rsidRPr="00F9310F" w:rsidRDefault="00E41334" w:rsidP="001709B8">
            <w:pPr>
              <w:pStyle w:val="Tblzat"/>
              <w:jc w:val="center"/>
            </w:pPr>
            <w:r w:rsidRPr="00F9310F">
              <w:t>(0.42)</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pPr>
            <w:r w:rsidRPr="00F9310F">
              <w:t>4.10</w:t>
            </w:r>
          </w:p>
          <w:p w:rsidR="00E41334" w:rsidRPr="00F9310F" w:rsidRDefault="00E41334" w:rsidP="001709B8">
            <w:pPr>
              <w:pStyle w:val="Tblzat"/>
              <w:jc w:val="center"/>
            </w:pPr>
            <w:r w:rsidRPr="00F9310F">
              <w:t>(0.60)</w:t>
            </w:r>
          </w:p>
        </w:tc>
        <w:tc>
          <w:tcPr>
            <w:tcW w:w="723" w:type="dxa"/>
            <w:shd w:val="clear" w:color="auto" w:fill="auto"/>
            <w:noWrap/>
            <w:vAlign w:val="center"/>
            <w:hideMark/>
          </w:tcPr>
          <w:p w:rsidR="00E41334" w:rsidRPr="00F9310F" w:rsidRDefault="00E41334" w:rsidP="001709B8">
            <w:pPr>
              <w:pStyle w:val="Tblzat"/>
              <w:jc w:val="center"/>
            </w:pPr>
            <w:r w:rsidRPr="00F9310F">
              <w:t>4.11</w:t>
            </w:r>
          </w:p>
          <w:p w:rsidR="00E41334" w:rsidRPr="00F9310F" w:rsidRDefault="00E41334" w:rsidP="001709B8">
            <w:pPr>
              <w:pStyle w:val="Tblzat"/>
              <w:jc w:val="center"/>
            </w:pPr>
            <w:r w:rsidRPr="00F9310F">
              <w:t>(0.45)</w:t>
            </w:r>
          </w:p>
        </w:tc>
      </w:tr>
      <w:tr w:rsidR="00E41334" w:rsidRPr="00F9310F" w:rsidTr="001709B8">
        <w:trPr>
          <w:trHeight w:val="28"/>
          <w:jc w:val="center"/>
        </w:trPr>
        <w:tc>
          <w:tcPr>
            <w:tcW w:w="2013" w:type="dxa"/>
            <w:shd w:val="clear" w:color="auto" w:fill="auto"/>
            <w:vAlign w:val="center"/>
            <w:hideMark/>
          </w:tcPr>
          <w:p w:rsidR="00E41334" w:rsidRPr="00F9310F" w:rsidRDefault="00E41334" w:rsidP="001709B8">
            <w:pPr>
              <w:pStyle w:val="Tblzat"/>
            </w:pPr>
            <w:r w:rsidRPr="00F9310F">
              <w:t>Social persistence (with children)</w:t>
            </w:r>
          </w:p>
        </w:tc>
        <w:tc>
          <w:tcPr>
            <w:tcW w:w="1132" w:type="dxa"/>
            <w:shd w:val="clear" w:color="auto" w:fill="auto"/>
            <w:vAlign w:val="center"/>
            <w:hideMark/>
          </w:tcPr>
          <w:p w:rsidR="00E41334" w:rsidRPr="00F9310F" w:rsidRDefault="00E41334" w:rsidP="001709B8">
            <w:pPr>
              <w:pStyle w:val="Tblzat"/>
              <w:jc w:val="center"/>
            </w:pPr>
            <w:r w:rsidRPr="00F9310F">
              <w:t>3.90</w:t>
            </w:r>
          </w:p>
          <w:p w:rsidR="00E41334" w:rsidRPr="00F9310F" w:rsidRDefault="00E41334" w:rsidP="001709B8">
            <w:pPr>
              <w:pStyle w:val="Tblzat"/>
              <w:jc w:val="center"/>
            </w:pPr>
            <w:r w:rsidRPr="00F9310F">
              <w:t>(0.75)</w:t>
            </w:r>
          </w:p>
        </w:tc>
        <w:tc>
          <w:tcPr>
            <w:tcW w:w="913" w:type="dxa"/>
            <w:shd w:val="clear" w:color="auto" w:fill="auto"/>
            <w:noWrap/>
            <w:vAlign w:val="center"/>
            <w:hideMark/>
          </w:tcPr>
          <w:p w:rsidR="00E41334" w:rsidRPr="00F9310F" w:rsidRDefault="00E41334" w:rsidP="001709B8">
            <w:pPr>
              <w:pStyle w:val="Tblzat"/>
              <w:jc w:val="center"/>
            </w:pPr>
            <w:r w:rsidRPr="00F9310F">
              <w:t>3.62</w:t>
            </w:r>
          </w:p>
          <w:p w:rsidR="00E41334" w:rsidRPr="00F9310F" w:rsidRDefault="00E41334" w:rsidP="001709B8">
            <w:pPr>
              <w:pStyle w:val="Tblzat"/>
              <w:jc w:val="center"/>
            </w:pPr>
            <w:r w:rsidRPr="00F9310F">
              <w:t>(0.78)</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3.68</w:t>
            </w:r>
          </w:p>
          <w:p w:rsidR="00E41334" w:rsidRPr="00F9310F" w:rsidRDefault="00E41334" w:rsidP="001709B8">
            <w:pPr>
              <w:pStyle w:val="Tblzat"/>
              <w:jc w:val="center"/>
            </w:pPr>
            <w:r w:rsidRPr="00F9310F">
              <w:t>(0.77)</w:t>
            </w:r>
          </w:p>
        </w:tc>
        <w:tc>
          <w:tcPr>
            <w:tcW w:w="843" w:type="dxa"/>
            <w:shd w:val="clear" w:color="auto" w:fill="auto"/>
            <w:noWrap/>
            <w:vAlign w:val="center"/>
            <w:hideMark/>
          </w:tcPr>
          <w:p w:rsidR="00E41334" w:rsidRPr="00F9310F" w:rsidRDefault="00E41334" w:rsidP="001709B8">
            <w:pPr>
              <w:pStyle w:val="Tblzat"/>
              <w:jc w:val="center"/>
            </w:pPr>
            <w:r w:rsidRPr="00F9310F">
              <w:t>3.58</w:t>
            </w:r>
          </w:p>
          <w:p w:rsidR="00E41334" w:rsidRPr="00F9310F" w:rsidRDefault="00E41334" w:rsidP="001709B8">
            <w:pPr>
              <w:pStyle w:val="Tblzat"/>
              <w:jc w:val="center"/>
            </w:pPr>
            <w:r w:rsidRPr="00F9310F">
              <w:t>(0.41)</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3.58</w:t>
            </w:r>
          </w:p>
          <w:p w:rsidR="00E41334" w:rsidRPr="00F9310F" w:rsidRDefault="00E41334" w:rsidP="001709B8">
            <w:pPr>
              <w:pStyle w:val="Tblzat"/>
              <w:jc w:val="center"/>
            </w:pPr>
            <w:r w:rsidRPr="00F9310F">
              <w:t>(0.40)</w:t>
            </w:r>
          </w:p>
        </w:tc>
        <w:tc>
          <w:tcPr>
            <w:tcW w:w="787" w:type="dxa"/>
            <w:shd w:val="clear" w:color="auto" w:fill="auto"/>
            <w:noWrap/>
            <w:vAlign w:val="center"/>
            <w:hideMark/>
          </w:tcPr>
          <w:p w:rsidR="00E41334" w:rsidRPr="00F9310F" w:rsidRDefault="00E41334" w:rsidP="001709B8">
            <w:pPr>
              <w:pStyle w:val="Tblzat"/>
              <w:jc w:val="center"/>
            </w:pPr>
            <w:r w:rsidRPr="00F9310F">
              <w:t>3.83</w:t>
            </w:r>
          </w:p>
          <w:p w:rsidR="00E41334" w:rsidRPr="00F9310F" w:rsidRDefault="00E41334" w:rsidP="001709B8">
            <w:pPr>
              <w:pStyle w:val="Tblzat"/>
              <w:jc w:val="center"/>
            </w:pPr>
            <w:r w:rsidRPr="00F9310F">
              <w:t>(0.66)</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pPr>
            <w:r w:rsidRPr="00F9310F">
              <w:t>4.03</w:t>
            </w:r>
          </w:p>
          <w:p w:rsidR="00E41334" w:rsidRPr="00F9310F" w:rsidRDefault="00E41334" w:rsidP="001709B8">
            <w:pPr>
              <w:pStyle w:val="Tblzat"/>
              <w:jc w:val="center"/>
            </w:pPr>
            <w:r w:rsidRPr="00F9310F">
              <w:t>(0.73)</w:t>
            </w:r>
          </w:p>
        </w:tc>
        <w:tc>
          <w:tcPr>
            <w:tcW w:w="723" w:type="dxa"/>
            <w:shd w:val="clear" w:color="auto" w:fill="auto"/>
            <w:noWrap/>
            <w:vAlign w:val="center"/>
            <w:hideMark/>
          </w:tcPr>
          <w:p w:rsidR="00E41334" w:rsidRPr="00F9310F" w:rsidRDefault="00E41334" w:rsidP="001709B8">
            <w:pPr>
              <w:pStyle w:val="Tblzat"/>
              <w:jc w:val="center"/>
            </w:pPr>
            <w:r w:rsidRPr="00F9310F">
              <w:t>3.96</w:t>
            </w:r>
          </w:p>
          <w:p w:rsidR="00E41334" w:rsidRPr="00F9310F" w:rsidRDefault="00E41334" w:rsidP="001709B8">
            <w:pPr>
              <w:pStyle w:val="Tblzat"/>
              <w:jc w:val="center"/>
            </w:pPr>
            <w:r w:rsidRPr="00F9310F">
              <w:t>(0.68)</w:t>
            </w:r>
          </w:p>
        </w:tc>
      </w:tr>
      <w:tr w:rsidR="00E41334" w:rsidRPr="00F9310F" w:rsidTr="001709B8">
        <w:trPr>
          <w:trHeight w:val="28"/>
          <w:jc w:val="center"/>
        </w:trPr>
        <w:tc>
          <w:tcPr>
            <w:tcW w:w="2013" w:type="dxa"/>
            <w:shd w:val="clear" w:color="auto" w:fill="auto"/>
            <w:noWrap/>
            <w:vAlign w:val="center"/>
          </w:tcPr>
          <w:p w:rsidR="00E41334" w:rsidRPr="00F9310F" w:rsidRDefault="00E41334" w:rsidP="001709B8">
            <w:pPr>
              <w:pStyle w:val="Tblzat"/>
            </w:pPr>
            <w:r w:rsidRPr="00F9310F">
              <w:t>Expressive aspects:</w:t>
            </w:r>
          </w:p>
        </w:tc>
        <w:tc>
          <w:tcPr>
            <w:tcW w:w="1132" w:type="dxa"/>
            <w:shd w:val="clear" w:color="auto" w:fill="auto"/>
            <w:vAlign w:val="center"/>
          </w:tcPr>
          <w:p w:rsidR="00E41334" w:rsidRPr="00F9310F" w:rsidRDefault="00E41334" w:rsidP="001709B8">
            <w:pPr>
              <w:pStyle w:val="Tblzat"/>
              <w:jc w:val="center"/>
            </w:pPr>
          </w:p>
        </w:tc>
        <w:tc>
          <w:tcPr>
            <w:tcW w:w="913" w:type="dxa"/>
            <w:shd w:val="clear" w:color="auto" w:fill="auto"/>
            <w:noWrap/>
            <w:vAlign w:val="center"/>
          </w:tcPr>
          <w:p w:rsidR="00E41334" w:rsidRPr="00F9310F" w:rsidRDefault="00E41334" w:rsidP="001709B8">
            <w:pPr>
              <w:pStyle w:val="Tblzat"/>
              <w:jc w:val="center"/>
            </w:pPr>
          </w:p>
        </w:tc>
        <w:tc>
          <w:tcPr>
            <w:tcW w:w="128" w:type="dxa"/>
            <w:vAlign w:val="center"/>
          </w:tcPr>
          <w:p w:rsidR="00E41334" w:rsidRPr="00F9310F" w:rsidRDefault="00E41334" w:rsidP="001709B8">
            <w:pPr>
              <w:pStyle w:val="Tblzat"/>
              <w:jc w:val="center"/>
            </w:pPr>
          </w:p>
        </w:tc>
        <w:tc>
          <w:tcPr>
            <w:tcW w:w="843" w:type="dxa"/>
            <w:shd w:val="clear" w:color="auto" w:fill="auto"/>
            <w:vAlign w:val="center"/>
          </w:tcPr>
          <w:p w:rsidR="00E41334" w:rsidRPr="00F9310F" w:rsidRDefault="00E41334" w:rsidP="001709B8">
            <w:pPr>
              <w:pStyle w:val="Tblzat"/>
              <w:jc w:val="center"/>
            </w:pPr>
          </w:p>
        </w:tc>
        <w:tc>
          <w:tcPr>
            <w:tcW w:w="843" w:type="dxa"/>
            <w:shd w:val="clear" w:color="auto" w:fill="auto"/>
            <w:noWrap/>
            <w:vAlign w:val="center"/>
          </w:tcPr>
          <w:p w:rsidR="00E41334" w:rsidRPr="00F9310F" w:rsidRDefault="00E41334" w:rsidP="001709B8">
            <w:pPr>
              <w:pStyle w:val="Tblzat"/>
              <w:jc w:val="center"/>
            </w:pPr>
          </w:p>
        </w:tc>
        <w:tc>
          <w:tcPr>
            <w:tcW w:w="90" w:type="dxa"/>
            <w:vAlign w:val="center"/>
          </w:tcPr>
          <w:p w:rsidR="00E41334" w:rsidRPr="00F9310F" w:rsidRDefault="00E41334" w:rsidP="001709B8">
            <w:pPr>
              <w:pStyle w:val="Tblzat"/>
              <w:jc w:val="center"/>
            </w:pPr>
          </w:p>
        </w:tc>
        <w:tc>
          <w:tcPr>
            <w:tcW w:w="787" w:type="dxa"/>
            <w:shd w:val="clear" w:color="auto" w:fill="auto"/>
            <w:vAlign w:val="center"/>
          </w:tcPr>
          <w:p w:rsidR="00E41334" w:rsidRPr="00F9310F" w:rsidRDefault="00E41334" w:rsidP="001709B8">
            <w:pPr>
              <w:pStyle w:val="Tblzat"/>
              <w:jc w:val="center"/>
            </w:pPr>
          </w:p>
        </w:tc>
        <w:tc>
          <w:tcPr>
            <w:tcW w:w="787" w:type="dxa"/>
            <w:shd w:val="clear" w:color="auto" w:fill="auto"/>
            <w:noWrap/>
            <w:vAlign w:val="center"/>
          </w:tcPr>
          <w:p w:rsidR="00E41334" w:rsidRPr="00F9310F" w:rsidRDefault="00E41334" w:rsidP="001709B8">
            <w:pPr>
              <w:pStyle w:val="Tblzat"/>
              <w:jc w:val="center"/>
            </w:pPr>
          </w:p>
        </w:tc>
        <w:tc>
          <w:tcPr>
            <w:tcW w:w="90" w:type="dxa"/>
            <w:vAlign w:val="center"/>
          </w:tcPr>
          <w:p w:rsidR="00E41334" w:rsidRPr="00F9310F" w:rsidRDefault="00E41334" w:rsidP="001709B8">
            <w:pPr>
              <w:pStyle w:val="Tblzat"/>
              <w:jc w:val="center"/>
            </w:pPr>
          </w:p>
        </w:tc>
        <w:tc>
          <w:tcPr>
            <w:tcW w:w="723" w:type="dxa"/>
            <w:shd w:val="clear" w:color="auto" w:fill="auto"/>
            <w:vAlign w:val="center"/>
          </w:tcPr>
          <w:p w:rsidR="00E41334" w:rsidRPr="00F9310F" w:rsidRDefault="00E41334" w:rsidP="001709B8">
            <w:pPr>
              <w:pStyle w:val="Tblzat"/>
              <w:jc w:val="center"/>
            </w:pPr>
          </w:p>
        </w:tc>
        <w:tc>
          <w:tcPr>
            <w:tcW w:w="723" w:type="dxa"/>
            <w:shd w:val="clear" w:color="auto" w:fill="auto"/>
            <w:noWrap/>
            <w:vAlign w:val="center"/>
          </w:tcPr>
          <w:p w:rsidR="00E41334" w:rsidRPr="00F9310F" w:rsidRDefault="00E41334" w:rsidP="001709B8">
            <w:pPr>
              <w:pStyle w:val="Tblzat"/>
              <w:jc w:val="center"/>
            </w:pPr>
          </w:p>
        </w:tc>
      </w:tr>
      <w:tr w:rsidR="00E41334" w:rsidRPr="00F9310F" w:rsidTr="001709B8">
        <w:trPr>
          <w:trHeight w:val="28"/>
          <w:jc w:val="center"/>
        </w:trPr>
        <w:tc>
          <w:tcPr>
            <w:tcW w:w="2013" w:type="dxa"/>
            <w:shd w:val="clear" w:color="auto" w:fill="auto"/>
            <w:noWrap/>
            <w:vAlign w:val="center"/>
            <w:hideMark/>
          </w:tcPr>
          <w:p w:rsidR="00E41334" w:rsidRPr="00F9310F" w:rsidRDefault="00E41334" w:rsidP="001709B8">
            <w:pPr>
              <w:pStyle w:val="Tblzat"/>
            </w:pPr>
            <w:r w:rsidRPr="00F9310F">
              <w:t>Mastery pleasure</w:t>
            </w:r>
          </w:p>
        </w:tc>
        <w:tc>
          <w:tcPr>
            <w:tcW w:w="1132" w:type="dxa"/>
            <w:shd w:val="clear" w:color="auto" w:fill="auto"/>
            <w:vAlign w:val="center"/>
            <w:hideMark/>
          </w:tcPr>
          <w:p w:rsidR="00E41334" w:rsidRPr="00F9310F" w:rsidRDefault="00E41334" w:rsidP="001709B8">
            <w:pPr>
              <w:pStyle w:val="Tblzat"/>
              <w:jc w:val="center"/>
            </w:pPr>
            <w:r w:rsidRPr="00F9310F">
              <w:t>3.97</w:t>
            </w:r>
          </w:p>
          <w:p w:rsidR="00E41334" w:rsidRPr="00F9310F" w:rsidRDefault="00E41334" w:rsidP="001709B8">
            <w:pPr>
              <w:pStyle w:val="Tblzat"/>
              <w:jc w:val="center"/>
            </w:pPr>
            <w:r w:rsidRPr="00F9310F">
              <w:t>(0.66)</w:t>
            </w:r>
          </w:p>
        </w:tc>
        <w:tc>
          <w:tcPr>
            <w:tcW w:w="913" w:type="dxa"/>
            <w:shd w:val="clear" w:color="auto" w:fill="auto"/>
            <w:noWrap/>
            <w:vAlign w:val="center"/>
            <w:hideMark/>
          </w:tcPr>
          <w:p w:rsidR="00E41334" w:rsidRPr="00F9310F" w:rsidRDefault="00E41334" w:rsidP="001709B8">
            <w:pPr>
              <w:pStyle w:val="Tblzat"/>
              <w:jc w:val="center"/>
            </w:pPr>
            <w:r w:rsidRPr="00F9310F">
              <w:t>4.36</w:t>
            </w:r>
          </w:p>
          <w:p w:rsidR="00E41334" w:rsidRPr="00F9310F" w:rsidRDefault="00E41334" w:rsidP="001709B8">
            <w:pPr>
              <w:pStyle w:val="Tblzat"/>
              <w:jc w:val="center"/>
            </w:pPr>
            <w:r w:rsidRPr="00F9310F">
              <w:t>(0.56)</w:t>
            </w:r>
          </w:p>
        </w:tc>
        <w:tc>
          <w:tcPr>
            <w:tcW w:w="128" w:type="dxa"/>
            <w:vAlign w:val="center"/>
          </w:tcPr>
          <w:p w:rsidR="00E41334" w:rsidRPr="00F9310F" w:rsidRDefault="00E41334" w:rsidP="001709B8">
            <w:pPr>
              <w:pStyle w:val="Tblzat"/>
              <w:jc w:val="center"/>
            </w:pPr>
          </w:p>
        </w:tc>
        <w:tc>
          <w:tcPr>
            <w:tcW w:w="843" w:type="dxa"/>
            <w:shd w:val="clear" w:color="auto" w:fill="auto"/>
            <w:vAlign w:val="center"/>
            <w:hideMark/>
          </w:tcPr>
          <w:p w:rsidR="00E41334" w:rsidRPr="00F9310F" w:rsidRDefault="00E41334" w:rsidP="001709B8">
            <w:pPr>
              <w:pStyle w:val="Tblzat"/>
              <w:jc w:val="center"/>
            </w:pPr>
            <w:r w:rsidRPr="00F9310F">
              <w:t>4.41</w:t>
            </w:r>
          </w:p>
          <w:p w:rsidR="00E41334" w:rsidRPr="00F9310F" w:rsidRDefault="00E41334" w:rsidP="001709B8">
            <w:pPr>
              <w:pStyle w:val="Tblzat"/>
              <w:jc w:val="center"/>
            </w:pPr>
            <w:r w:rsidRPr="00F9310F">
              <w:t>(0.59)</w:t>
            </w:r>
          </w:p>
        </w:tc>
        <w:tc>
          <w:tcPr>
            <w:tcW w:w="843" w:type="dxa"/>
            <w:shd w:val="clear" w:color="auto" w:fill="auto"/>
            <w:noWrap/>
            <w:vAlign w:val="center"/>
            <w:hideMark/>
          </w:tcPr>
          <w:p w:rsidR="00E41334" w:rsidRPr="00F9310F" w:rsidRDefault="00E41334" w:rsidP="001709B8">
            <w:pPr>
              <w:pStyle w:val="Tblzat"/>
              <w:jc w:val="center"/>
            </w:pPr>
            <w:r w:rsidRPr="00F9310F">
              <w:t>3.39</w:t>
            </w:r>
          </w:p>
          <w:p w:rsidR="00E41334" w:rsidRPr="00F9310F" w:rsidRDefault="00E41334" w:rsidP="001709B8">
            <w:pPr>
              <w:pStyle w:val="Tblzat"/>
              <w:jc w:val="center"/>
            </w:pPr>
            <w:r w:rsidRPr="00F9310F">
              <w:t>(0.44)</w:t>
            </w:r>
          </w:p>
        </w:tc>
        <w:tc>
          <w:tcPr>
            <w:tcW w:w="90" w:type="dxa"/>
            <w:vAlign w:val="center"/>
          </w:tcPr>
          <w:p w:rsidR="00E41334" w:rsidRPr="00F9310F" w:rsidRDefault="00E41334" w:rsidP="001709B8">
            <w:pPr>
              <w:pStyle w:val="Tblzat"/>
              <w:jc w:val="center"/>
            </w:pPr>
          </w:p>
        </w:tc>
        <w:tc>
          <w:tcPr>
            <w:tcW w:w="787" w:type="dxa"/>
            <w:shd w:val="clear" w:color="auto" w:fill="auto"/>
            <w:vAlign w:val="center"/>
            <w:hideMark/>
          </w:tcPr>
          <w:p w:rsidR="00E41334" w:rsidRPr="00F9310F" w:rsidRDefault="00E41334" w:rsidP="001709B8">
            <w:pPr>
              <w:pStyle w:val="Tblzat"/>
              <w:jc w:val="center"/>
            </w:pPr>
            <w:r w:rsidRPr="00F9310F">
              <w:t>3.43</w:t>
            </w:r>
          </w:p>
          <w:p w:rsidR="00E41334" w:rsidRPr="00F9310F" w:rsidRDefault="00E41334" w:rsidP="001709B8">
            <w:pPr>
              <w:pStyle w:val="Tblzat"/>
              <w:jc w:val="center"/>
            </w:pPr>
            <w:r w:rsidRPr="00F9310F">
              <w:t>(0.44)</w:t>
            </w:r>
          </w:p>
        </w:tc>
        <w:tc>
          <w:tcPr>
            <w:tcW w:w="787" w:type="dxa"/>
            <w:shd w:val="clear" w:color="auto" w:fill="auto"/>
            <w:noWrap/>
            <w:vAlign w:val="center"/>
            <w:hideMark/>
          </w:tcPr>
          <w:p w:rsidR="00E41334" w:rsidRPr="00F9310F" w:rsidRDefault="00E41334" w:rsidP="001709B8">
            <w:pPr>
              <w:pStyle w:val="Tblzat"/>
              <w:jc w:val="center"/>
            </w:pPr>
            <w:r w:rsidRPr="00F9310F">
              <w:t>4.62</w:t>
            </w:r>
          </w:p>
          <w:p w:rsidR="00E41334" w:rsidRPr="00F9310F" w:rsidRDefault="00E41334" w:rsidP="001709B8">
            <w:pPr>
              <w:pStyle w:val="Tblzat"/>
              <w:jc w:val="center"/>
            </w:pPr>
            <w:r w:rsidRPr="00F9310F">
              <w:t>(0.38)</w:t>
            </w:r>
          </w:p>
        </w:tc>
        <w:tc>
          <w:tcPr>
            <w:tcW w:w="90" w:type="dxa"/>
            <w:vAlign w:val="center"/>
          </w:tcPr>
          <w:p w:rsidR="00E41334" w:rsidRPr="00F9310F" w:rsidRDefault="00E41334" w:rsidP="001709B8">
            <w:pPr>
              <w:pStyle w:val="Tblzat"/>
              <w:jc w:val="center"/>
            </w:pPr>
          </w:p>
        </w:tc>
        <w:tc>
          <w:tcPr>
            <w:tcW w:w="723" w:type="dxa"/>
            <w:shd w:val="clear" w:color="auto" w:fill="auto"/>
            <w:vAlign w:val="center"/>
            <w:hideMark/>
          </w:tcPr>
          <w:p w:rsidR="00E41334" w:rsidRPr="00F9310F" w:rsidRDefault="00E41334" w:rsidP="001709B8">
            <w:pPr>
              <w:pStyle w:val="Tblzat"/>
              <w:jc w:val="center"/>
              <w:rPr>
                <w:rFonts w:eastAsia="PMingLiU"/>
                <w:lang w:eastAsia="zh-TW"/>
              </w:rPr>
            </w:pPr>
            <w:r w:rsidRPr="00F9310F">
              <w:t>4.</w:t>
            </w:r>
            <w:r w:rsidRPr="00F9310F">
              <w:rPr>
                <w:rFonts w:eastAsia="PMingLiU"/>
                <w:lang w:eastAsia="zh-TW"/>
              </w:rPr>
              <w:t>09</w:t>
            </w:r>
          </w:p>
          <w:p w:rsidR="00E41334" w:rsidRPr="00F9310F" w:rsidRDefault="00E41334" w:rsidP="001709B8">
            <w:pPr>
              <w:pStyle w:val="Tblzat"/>
              <w:jc w:val="center"/>
            </w:pPr>
            <w:r w:rsidRPr="00F9310F">
              <w:t>(0.</w:t>
            </w:r>
            <w:r w:rsidRPr="00F9310F">
              <w:rPr>
                <w:rFonts w:eastAsia="PMingLiU"/>
                <w:lang w:eastAsia="zh-TW"/>
              </w:rPr>
              <w:t>66</w:t>
            </w:r>
            <w:r w:rsidRPr="00F9310F">
              <w:t>)</w:t>
            </w:r>
          </w:p>
        </w:tc>
        <w:tc>
          <w:tcPr>
            <w:tcW w:w="723" w:type="dxa"/>
            <w:shd w:val="clear" w:color="auto" w:fill="auto"/>
            <w:noWrap/>
            <w:vAlign w:val="center"/>
            <w:hideMark/>
          </w:tcPr>
          <w:p w:rsidR="00E41334" w:rsidRPr="00F9310F" w:rsidRDefault="00E41334" w:rsidP="001709B8">
            <w:pPr>
              <w:pStyle w:val="Tblzat"/>
              <w:jc w:val="center"/>
            </w:pPr>
            <w:r w:rsidRPr="00F9310F">
              <w:t>4.55</w:t>
            </w:r>
          </w:p>
          <w:p w:rsidR="00E41334" w:rsidRPr="00F9310F" w:rsidRDefault="00E41334" w:rsidP="001709B8">
            <w:pPr>
              <w:pStyle w:val="Tblzat"/>
              <w:jc w:val="center"/>
            </w:pPr>
            <w:r w:rsidRPr="00F9310F">
              <w:t>(0.43)</w:t>
            </w:r>
          </w:p>
        </w:tc>
      </w:tr>
      <w:tr w:rsidR="00E41334" w:rsidRPr="00F9310F" w:rsidTr="001709B8">
        <w:trPr>
          <w:trHeight w:val="28"/>
          <w:jc w:val="center"/>
        </w:trPr>
        <w:tc>
          <w:tcPr>
            <w:tcW w:w="2013" w:type="dxa"/>
            <w:tcBorders>
              <w:bottom w:val="single" w:sz="4" w:space="0" w:color="auto"/>
            </w:tcBorders>
            <w:shd w:val="clear" w:color="auto" w:fill="auto"/>
            <w:noWrap/>
            <w:vAlign w:val="center"/>
            <w:hideMark/>
          </w:tcPr>
          <w:p w:rsidR="00E41334" w:rsidRPr="00F9310F" w:rsidRDefault="00E41334" w:rsidP="001709B8">
            <w:pPr>
              <w:pStyle w:val="Tblzat"/>
            </w:pPr>
            <w:r w:rsidRPr="00F9310F">
              <w:t>Negative reactions to failure</w:t>
            </w:r>
          </w:p>
        </w:tc>
        <w:tc>
          <w:tcPr>
            <w:tcW w:w="1132" w:type="dxa"/>
            <w:tcBorders>
              <w:bottom w:val="single" w:sz="4" w:space="0" w:color="auto"/>
            </w:tcBorders>
            <w:shd w:val="clear" w:color="auto" w:fill="auto"/>
            <w:vAlign w:val="center"/>
            <w:hideMark/>
          </w:tcPr>
          <w:p w:rsidR="00E41334" w:rsidRPr="00F9310F" w:rsidRDefault="00E41334" w:rsidP="001709B8">
            <w:pPr>
              <w:pStyle w:val="Tblzat"/>
              <w:jc w:val="center"/>
            </w:pPr>
            <w:r w:rsidRPr="00F9310F">
              <w:t>2.58</w:t>
            </w:r>
          </w:p>
          <w:p w:rsidR="00E41334" w:rsidRPr="00F9310F" w:rsidRDefault="00E41334" w:rsidP="001709B8">
            <w:pPr>
              <w:pStyle w:val="Tblzat"/>
              <w:jc w:val="center"/>
            </w:pPr>
            <w:r w:rsidRPr="00F9310F">
              <w:t>(0.72)</w:t>
            </w:r>
          </w:p>
        </w:tc>
        <w:tc>
          <w:tcPr>
            <w:tcW w:w="913" w:type="dxa"/>
            <w:tcBorders>
              <w:bottom w:val="single" w:sz="4" w:space="0" w:color="auto"/>
            </w:tcBorders>
            <w:shd w:val="clear" w:color="auto" w:fill="auto"/>
            <w:noWrap/>
            <w:vAlign w:val="center"/>
            <w:hideMark/>
          </w:tcPr>
          <w:p w:rsidR="00E41334" w:rsidRPr="00F9310F" w:rsidRDefault="00E41334" w:rsidP="001709B8">
            <w:pPr>
              <w:pStyle w:val="Tblzat"/>
              <w:jc w:val="center"/>
            </w:pPr>
            <w:r w:rsidRPr="00F9310F">
              <w:t>2.69</w:t>
            </w:r>
          </w:p>
          <w:p w:rsidR="00E41334" w:rsidRPr="00F9310F" w:rsidRDefault="00E41334" w:rsidP="001709B8">
            <w:pPr>
              <w:pStyle w:val="Tblzat"/>
              <w:jc w:val="center"/>
            </w:pPr>
            <w:r w:rsidRPr="00F9310F">
              <w:t>(0.56)</w:t>
            </w:r>
          </w:p>
        </w:tc>
        <w:tc>
          <w:tcPr>
            <w:tcW w:w="128" w:type="dxa"/>
            <w:tcBorders>
              <w:bottom w:val="single" w:sz="4" w:space="0" w:color="auto"/>
            </w:tcBorders>
            <w:vAlign w:val="center"/>
          </w:tcPr>
          <w:p w:rsidR="00E41334" w:rsidRPr="00F9310F" w:rsidRDefault="00E41334" w:rsidP="001709B8">
            <w:pPr>
              <w:pStyle w:val="Tblzat"/>
              <w:jc w:val="center"/>
            </w:pPr>
          </w:p>
        </w:tc>
        <w:tc>
          <w:tcPr>
            <w:tcW w:w="843" w:type="dxa"/>
            <w:tcBorders>
              <w:bottom w:val="single" w:sz="4" w:space="0" w:color="auto"/>
            </w:tcBorders>
            <w:shd w:val="clear" w:color="auto" w:fill="auto"/>
            <w:vAlign w:val="center"/>
            <w:hideMark/>
          </w:tcPr>
          <w:p w:rsidR="00E41334" w:rsidRPr="00F9310F" w:rsidRDefault="00E41334" w:rsidP="001709B8">
            <w:pPr>
              <w:pStyle w:val="Tblzat"/>
              <w:jc w:val="center"/>
            </w:pPr>
            <w:r w:rsidRPr="00F9310F">
              <w:t>2.63</w:t>
            </w:r>
          </w:p>
          <w:p w:rsidR="00E41334" w:rsidRPr="00F9310F" w:rsidRDefault="00E41334" w:rsidP="001709B8">
            <w:pPr>
              <w:pStyle w:val="Tblzat"/>
              <w:jc w:val="center"/>
            </w:pPr>
            <w:r w:rsidRPr="00F9310F">
              <w:t>(0.52)</w:t>
            </w:r>
          </w:p>
        </w:tc>
        <w:tc>
          <w:tcPr>
            <w:tcW w:w="843" w:type="dxa"/>
            <w:tcBorders>
              <w:bottom w:val="single" w:sz="4" w:space="0" w:color="auto"/>
            </w:tcBorders>
            <w:shd w:val="clear" w:color="auto" w:fill="auto"/>
            <w:noWrap/>
            <w:vAlign w:val="center"/>
            <w:hideMark/>
          </w:tcPr>
          <w:p w:rsidR="00E41334" w:rsidRPr="00F9310F" w:rsidRDefault="00E41334" w:rsidP="001709B8">
            <w:pPr>
              <w:pStyle w:val="Tblzat"/>
              <w:jc w:val="center"/>
            </w:pPr>
            <w:r w:rsidRPr="00F9310F">
              <w:t>2.96</w:t>
            </w:r>
          </w:p>
          <w:p w:rsidR="00E41334" w:rsidRPr="00F9310F" w:rsidRDefault="00E41334" w:rsidP="001709B8">
            <w:pPr>
              <w:pStyle w:val="Tblzat"/>
              <w:jc w:val="center"/>
            </w:pPr>
            <w:r w:rsidRPr="00F9310F">
              <w:t>(0.57)</w:t>
            </w:r>
          </w:p>
        </w:tc>
        <w:tc>
          <w:tcPr>
            <w:tcW w:w="90" w:type="dxa"/>
            <w:tcBorders>
              <w:bottom w:val="single" w:sz="4" w:space="0" w:color="auto"/>
            </w:tcBorders>
            <w:vAlign w:val="center"/>
          </w:tcPr>
          <w:p w:rsidR="00E41334" w:rsidRPr="00F9310F" w:rsidRDefault="00E41334" w:rsidP="001709B8">
            <w:pPr>
              <w:pStyle w:val="Tblzat"/>
              <w:jc w:val="center"/>
            </w:pPr>
          </w:p>
        </w:tc>
        <w:tc>
          <w:tcPr>
            <w:tcW w:w="787" w:type="dxa"/>
            <w:tcBorders>
              <w:bottom w:val="single" w:sz="4" w:space="0" w:color="auto"/>
            </w:tcBorders>
            <w:shd w:val="clear" w:color="auto" w:fill="auto"/>
            <w:vAlign w:val="center"/>
            <w:hideMark/>
          </w:tcPr>
          <w:p w:rsidR="00E41334" w:rsidRPr="00F9310F" w:rsidRDefault="00E41334" w:rsidP="001709B8">
            <w:pPr>
              <w:pStyle w:val="Tblzat"/>
              <w:jc w:val="center"/>
            </w:pPr>
            <w:r w:rsidRPr="00F9310F">
              <w:t>2.92</w:t>
            </w:r>
          </w:p>
          <w:p w:rsidR="00E41334" w:rsidRPr="00F9310F" w:rsidRDefault="00E41334" w:rsidP="001709B8">
            <w:pPr>
              <w:pStyle w:val="Tblzat"/>
              <w:jc w:val="center"/>
            </w:pPr>
            <w:r w:rsidRPr="00F9310F">
              <w:t>(0.51)</w:t>
            </w:r>
          </w:p>
        </w:tc>
        <w:tc>
          <w:tcPr>
            <w:tcW w:w="787" w:type="dxa"/>
            <w:tcBorders>
              <w:bottom w:val="single" w:sz="4" w:space="0" w:color="auto"/>
            </w:tcBorders>
            <w:shd w:val="clear" w:color="auto" w:fill="auto"/>
            <w:noWrap/>
            <w:vAlign w:val="center"/>
            <w:hideMark/>
          </w:tcPr>
          <w:p w:rsidR="00E41334" w:rsidRPr="00F9310F" w:rsidRDefault="00E41334" w:rsidP="001709B8">
            <w:pPr>
              <w:pStyle w:val="Tblzat"/>
              <w:jc w:val="center"/>
            </w:pPr>
            <w:r w:rsidRPr="00F9310F">
              <w:t>2.99</w:t>
            </w:r>
          </w:p>
          <w:p w:rsidR="00E41334" w:rsidRPr="00F9310F" w:rsidRDefault="00E41334" w:rsidP="001709B8">
            <w:pPr>
              <w:pStyle w:val="Tblzat"/>
              <w:jc w:val="center"/>
            </w:pPr>
            <w:r w:rsidRPr="00F9310F">
              <w:t>(0.63)</w:t>
            </w:r>
          </w:p>
        </w:tc>
        <w:tc>
          <w:tcPr>
            <w:tcW w:w="90" w:type="dxa"/>
            <w:tcBorders>
              <w:bottom w:val="single" w:sz="4" w:space="0" w:color="auto"/>
            </w:tcBorders>
            <w:vAlign w:val="center"/>
          </w:tcPr>
          <w:p w:rsidR="00E41334" w:rsidRPr="00F9310F" w:rsidRDefault="00E41334" w:rsidP="001709B8">
            <w:pPr>
              <w:pStyle w:val="Tblzat"/>
              <w:jc w:val="center"/>
            </w:pPr>
          </w:p>
        </w:tc>
        <w:tc>
          <w:tcPr>
            <w:tcW w:w="723" w:type="dxa"/>
            <w:tcBorders>
              <w:bottom w:val="single" w:sz="4" w:space="0" w:color="auto"/>
            </w:tcBorders>
            <w:shd w:val="clear" w:color="auto" w:fill="auto"/>
            <w:vAlign w:val="center"/>
            <w:hideMark/>
          </w:tcPr>
          <w:p w:rsidR="00E41334" w:rsidRPr="00F9310F" w:rsidRDefault="00E41334" w:rsidP="001709B8">
            <w:pPr>
              <w:pStyle w:val="Tblzat"/>
              <w:jc w:val="center"/>
              <w:rPr>
                <w:rFonts w:eastAsia="PMingLiU"/>
                <w:lang w:eastAsia="zh-TW"/>
              </w:rPr>
            </w:pPr>
            <w:r w:rsidRPr="00F9310F">
              <w:t>2.</w:t>
            </w:r>
            <w:r w:rsidRPr="00F9310F">
              <w:rPr>
                <w:rFonts w:eastAsia="PMingLiU"/>
                <w:lang w:eastAsia="zh-TW"/>
              </w:rPr>
              <w:t>59</w:t>
            </w:r>
          </w:p>
          <w:p w:rsidR="00E41334" w:rsidRPr="00F9310F" w:rsidRDefault="00E41334" w:rsidP="001709B8">
            <w:pPr>
              <w:pStyle w:val="Tblzat"/>
              <w:jc w:val="center"/>
            </w:pPr>
            <w:r w:rsidRPr="00F9310F">
              <w:t>(0.</w:t>
            </w:r>
            <w:r w:rsidRPr="00F9310F">
              <w:rPr>
                <w:rFonts w:eastAsia="PMingLiU"/>
                <w:lang w:eastAsia="zh-TW"/>
              </w:rPr>
              <w:t>72</w:t>
            </w:r>
            <w:r w:rsidRPr="00F9310F">
              <w:t>)</w:t>
            </w:r>
          </w:p>
        </w:tc>
        <w:tc>
          <w:tcPr>
            <w:tcW w:w="723" w:type="dxa"/>
            <w:tcBorders>
              <w:bottom w:val="single" w:sz="4" w:space="0" w:color="auto"/>
            </w:tcBorders>
            <w:shd w:val="clear" w:color="auto" w:fill="auto"/>
            <w:noWrap/>
            <w:vAlign w:val="center"/>
            <w:hideMark/>
          </w:tcPr>
          <w:p w:rsidR="00E41334" w:rsidRPr="00F9310F" w:rsidRDefault="00E41334" w:rsidP="001709B8">
            <w:pPr>
              <w:pStyle w:val="Tblzat"/>
              <w:jc w:val="center"/>
            </w:pPr>
            <w:r w:rsidRPr="00F9310F">
              <w:t>2.99</w:t>
            </w:r>
          </w:p>
          <w:p w:rsidR="00E41334" w:rsidRPr="00F9310F" w:rsidRDefault="00E41334" w:rsidP="001709B8">
            <w:pPr>
              <w:pStyle w:val="Tblzat"/>
              <w:jc w:val="center"/>
            </w:pPr>
            <w:r w:rsidRPr="00F9310F">
              <w:t>(0.53)</w:t>
            </w:r>
          </w:p>
        </w:tc>
      </w:tr>
    </w:tbl>
    <w:bookmarkEnd w:id="1"/>
    <w:p w:rsidR="00E41334" w:rsidRPr="00556EBE" w:rsidRDefault="00E41334" w:rsidP="00E41334">
      <w:pPr>
        <w:pStyle w:val="Text"/>
      </w:pPr>
      <w:r w:rsidRPr="00556EBE">
        <w:t>Regarding the indicators for the expressive aspect</w:t>
      </w:r>
      <w:r w:rsidRPr="00556EBE">
        <w:rPr>
          <w:rFonts w:eastAsia="PMingLiU"/>
          <w:lang w:eastAsia="zh-TW"/>
        </w:rPr>
        <w:t>s</w:t>
      </w:r>
      <w:r w:rsidRPr="00556EBE">
        <w:t xml:space="preserve"> of mastery motivation, significant cross-wave correlations were found in negative reactions to failure in all three sets of 16-month interval</w:t>
      </w:r>
      <w:r w:rsidRPr="00556EBE">
        <w:rPr>
          <w:rFonts w:eastAsia="PMingLiU"/>
          <w:lang w:eastAsia="zh-TW"/>
        </w:rPr>
        <w:t>s</w:t>
      </w:r>
      <w:r w:rsidRPr="00556EBE">
        <w:t xml:space="preserve"> (</w:t>
      </w:r>
      <w:r w:rsidRPr="00556EBE">
        <w:rPr>
          <w:i/>
        </w:rPr>
        <w:t>r</w:t>
      </w:r>
      <w:r w:rsidRPr="00556EBE">
        <w:t>s = .39</w:t>
      </w:r>
      <w:r w:rsidRPr="000E3829">
        <w:rPr>
          <w:rFonts w:eastAsia="PMingLiU" w:hint="eastAsia"/>
          <w:lang w:eastAsia="zh-TW"/>
        </w:rPr>
        <w:t xml:space="preserve"> to </w:t>
      </w:r>
      <w:r w:rsidRPr="00556EBE">
        <w:t xml:space="preserve">.48, </w:t>
      </w:r>
      <w:r w:rsidRPr="00556EBE">
        <w:rPr>
          <w:i/>
        </w:rPr>
        <w:t>p</w:t>
      </w:r>
      <w:r w:rsidRPr="00556EBE">
        <w:t xml:space="preserve">s &lt; .05). While significant cross-wave correlation was found </w:t>
      </w:r>
      <w:r>
        <w:t>for</w:t>
      </w:r>
      <w:r w:rsidRPr="00556EBE">
        <w:t xml:space="preserve"> mastery pleasure </w:t>
      </w:r>
      <w:r>
        <w:t>from</w:t>
      </w:r>
      <w:r w:rsidRPr="00556EBE">
        <w:t xml:space="preserve"> 10 to 26 months (</w:t>
      </w:r>
      <w:r w:rsidRPr="00556EBE">
        <w:rPr>
          <w:i/>
        </w:rPr>
        <w:t>r</w:t>
      </w:r>
      <w:r w:rsidRPr="00556EBE">
        <w:t xml:space="preserve"> = .29, </w:t>
      </w:r>
      <w:r w:rsidRPr="00556EBE">
        <w:rPr>
          <w:i/>
        </w:rPr>
        <w:t>p</w:t>
      </w:r>
      <w:r w:rsidRPr="00556EBE">
        <w:t xml:space="preserve"> = .036), this was not the case </w:t>
      </w:r>
      <w:r w:rsidRPr="00556EBE">
        <w:rPr>
          <w:rFonts w:eastAsia="PMingLiU"/>
          <w:lang w:eastAsia="zh-TW"/>
        </w:rPr>
        <w:t>from</w:t>
      </w:r>
      <w:r w:rsidRPr="00556EBE">
        <w:t xml:space="preserve"> 21 to 37 months </w:t>
      </w:r>
      <w:r>
        <w:t>n</w:t>
      </w:r>
      <w:r w:rsidRPr="00556EBE">
        <w:t xml:space="preserve">or </w:t>
      </w:r>
      <w:r w:rsidRPr="00556EBE">
        <w:rPr>
          <w:rFonts w:eastAsia="PMingLiU"/>
          <w:lang w:eastAsia="zh-TW"/>
        </w:rPr>
        <w:t>from</w:t>
      </w:r>
      <w:r w:rsidRPr="00556EBE">
        <w:t xml:space="preserve"> 37 to 53 months (</w:t>
      </w:r>
      <w:r w:rsidRPr="00556EBE">
        <w:rPr>
          <w:i/>
        </w:rPr>
        <w:t>r</w:t>
      </w:r>
      <w:r w:rsidRPr="00556EBE">
        <w:t xml:space="preserve">s = .28, .21, </w:t>
      </w:r>
      <w:r w:rsidRPr="00556EBE">
        <w:rPr>
          <w:i/>
        </w:rPr>
        <w:t>ns</w:t>
      </w:r>
      <w:r w:rsidRPr="00556EBE">
        <w:t xml:space="preserve">). </w:t>
      </w:r>
    </w:p>
    <w:p w:rsidR="00E41334" w:rsidRPr="00926C0D" w:rsidRDefault="00E41334" w:rsidP="00E41334">
      <w:pPr>
        <w:pStyle w:val="Kpalrs"/>
      </w:pPr>
      <w:r w:rsidRPr="00926C0D">
        <w:t>Table 2.Cross-Wave Correlation Coefficients for DMQ Scales</w:t>
      </w:r>
    </w:p>
    <w:tbl>
      <w:tblPr>
        <w:tblW w:w="9072" w:type="dxa"/>
        <w:jc w:val="center"/>
        <w:tblLayout w:type="fixed"/>
        <w:tblCellMar>
          <w:left w:w="28" w:type="dxa"/>
          <w:right w:w="28" w:type="dxa"/>
        </w:tblCellMar>
        <w:tblLook w:val="04A0" w:firstRow="1" w:lastRow="0" w:firstColumn="1" w:lastColumn="0" w:noHBand="0" w:noVBand="1"/>
      </w:tblPr>
      <w:tblGrid>
        <w:gridCol w:w="3342"/>
        <w:gridCol w:w="1433"/>
        <w:gridCol w:w="1432"/>
        <w:gridCol w:w="1432"/>
        <w:gridCol w:w="1433"/>
      </w:tblGrid>
      <w:tr w:rsidR="00E41334" w:rsidRPr="00F9310F" w:rsidTr="001709B8">
        <w:trPr>
          <w:trHeight w:val="28"/>
          <w:jc w:val="center"/>
        </w:trPr>
        <w:tc>
          <w:tcPr>
            <w:tcW w:w="3400" w:type="dxa"/>
            <w:vMerge w:val="restart"/>
            <w:tcBorders>
              <w:top w:val="single" w:sz="4" w:space="0" w:color="auto"/>
              <w:left w:val="nil"/>
              <w:bottom w:val="single" w:sz="8" w:space="0" w:color="000000"/>
              <w:right w:val="nil"/>
            </w:tcBorders>
            <w:shd w:val="clear" w:color="auto" w:fill="auto"/>
            <w:noWrap/>
            <w:vAlign w:val="center"/>
            <w:hideMark/>
          </w:tcPr>
          <w:p w:rsidR="00E41334" w:rsidRPr="00F9310F" w:rsidRDefault="00E41334" w:rsidP="001709B8">
            <w:pPr>
              <w:pStyle w:val="Tblzat"/>
            </w:pPr>
            <w:r w:rsidRPr="00F9310F">
              <w:t>Indicators of mastery motivation</w:t>
            </w:r>
          </w:p>
        </w:tc>
        <w:tc>
          <w:tcPr>
            <w:tcW w:w="1457"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10 to 26</w:t>
            </w:r>
          </w:p>
          <w:p w:rsidR="00E41334" w:rsidRPr="00F9310F" w:rsidRDefault="00E41334" w:rsidP="001709B8">
            <w:pPr>
              <w:pStyle w:val="Tblzat"/>
              <w:jc w:val="center"/>
            </w:pPr>
            <w:r w:rsidRPr="00F9310F">
              <w:t>months</w:t>
            </w:r>
          </w:p>
        </w:tc>
        <w:tc>
          <w:tcPr>
            <w:tcW w:w="1457"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21 to 37</w:t>
            </w:r>
          </w:p>
          <w:p w:rsidR="00E41334" w:rsidRPr="00F9310F" w:rsidRDefault="00E41334" w:rsidP="001709B8">
            <w:pPr>
              <w:pStyle w:val="Tblzat"/>
              <w:jc w:val="center"/>
            </w:pPr>
            <w:r w:rsidRPr="00F9310F">
              <w:t>months</w:t>
            </w:r>
          </w:p>
        </w:tc>
        <w:tc>
          <w:tcPr>
            <w:tcW w:w="1457"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37 to 53</w:t>
            </w:r>
          </w:p>
          <w:p w:rsidR="00E41334" w:rsidRPr="00F9310F" w:rsidRDefault="00E41334" w:rsidP="001709B8">
            <w:pPr>
              <w:pStyle w:val="Tblzat"/>
              <w:jc w:val="center"/>
            </w:pPr>
            <w:r w:rsidRPr="00F9310F">
              <w:t>months</w:t>
            </w:r>
          </w:p>
        </w:tc>
        <w:tc>
          <w:tcPr>
            <w:tcW w:w="1458"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10 to 53</w:t>
            </w:r>
          </w:p>
          <w:p w:rsidR="00E41334" w:rsidRPr="00F9310F" w:rsidRDefault="00E41334" w:rsidP="001709B8">
            <w:pPr>
              <w:pStyle w:val="Tblzat"/>
              <w:jc w:val="center"/>
            </w:pPr>
            <w:r w:rsidRPr="00F9310F">
              <w:t>months</w:t>
            </w:r>
          </w:p>
        </w:tc>
      </w:tr>
      <w:tr w:rsidR="00E41334" w:rsidRPr="00F9310F" w:rsidTr="001709B8">
        <w:trPr>
          <w:trHeight w:val="28"/>
          <w:jc w:val="center"/>
        </w:trPr>
        <w:tc>
          <w:tcPr>
            <w:tcW w:w="3400" w:type="dxa"/>
            <w:vMerge/>
            <w:tcBorders>
              <w:top w:val="single" w:sz="12" w:space="0" w:color="auto"/>
              <w:left w:val="nil"/>
              <w:bottom w:val="single" w:sz="8" w:space="0" w:color="000000"/>
              <w:right w:val="nil"/>
            </w:tcBorders>
            <w:vAlign w:val="center"/>
            <w:hideMark/>
          </w:tcPr>
          <w:p w:rsidR="00E41334" w:rsidRPr="00F9310F" w:rsidRDefault="00E41334" w:rsidP="001709B8">
            <w:pPr>
              <w:pStyle w:val="Tblzat"/>
            </w:pPr>
          </w:p>
        </w:tc>
        <w:tc>
          <w:tcPr>
            <w:tcW w:w="1457"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53)</w:t>
            </w:r>
          </w:p>
        </w:tc>
        <w:tc>
          <w:tcPr>
            <w:tcW w:w="1457"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43)</w:t>
            </w:r>
          </w:p>
        </w:tc>
        <w:tc>
          <w:tcPr>
            <w:tcW w:w="1457"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40)</w:t>
            </w:r>
          </w:p>
        </w:tc>
        <w:tc>
          <w:tcPr>
            <w:tcW w:w="1458"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40)</w:t>
            </w:r>
          </w:p>
        </w:tc>
      </w:tr>
      <w:tr w:rsidR="00E41334" w:rsidRPr="00F9310F" w:rsidTr="001709B8">
        <w:trPr>
          <w:trHeight w:val="28"/>
          <w:jc w:val="center"/>
        </w:trPr>
        <w:tc>
          <w:tcPr>
            <w:tcW w:w="3400" w:type="dxa"/>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Total persistence</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.69***</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.61***</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.57***</w:t>
            </w:r>
          </w:p>
        </w:tc>
        <w:tc>
          <w:tcPr>
            <w:tcW w:w="145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.61***</w:t>
            </w:r>
          </w:p>
        </w:tc>
      </w:tr>
      <w:tr w:rsidR="00E41334" w:rsidRPr="00F9310F" w:rsidTr="001709B8">
        <w:trPr>
          <w:trHeight w:val="28"/>
          <w:jc w:val="center"/>
        </w:trPr>
        <w:tc>
          <w:tcPr>
            <w:tcW w:w="3400" w:type="dxa"/>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Object-oriented persistence</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.66***</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.63***</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.52**</w:t>
            </w:r>
          </w:p>
        </w:tc>
        <w:tc>
          <w:tcPr>
            <w:tcW w:w="145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.47**</w:t>
            </w:r>
          </w:p>
        </w:tc>
      </w:tr>
      <w:tr w:rsidR="00E41334" w:rsidRPr="00F9310F" w:rsidTr="001709B8">
        <w:trPr>
          <w:trHeight w:val="28"/>
          <w:jc w:val="center"/>
        </w:trPr>
        <w:tc>
          <w:tcPr>
            <w:tcW w:w="3400" w:type="dxa"/>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Gross motor persistence</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.44***</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.58***</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.56***</w:t>
            </w:r>
          </w:p>
        </w:tc>
        <w:tc>
          <w:tcPr>
            <w:tcW w:w="145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.41**</w:t>
            </w:r>
          </w:p>
        </w:tc>
      </w:tr>
      <w:tr w:rsidR="00E41334" w:rsidRPr="00F9310F" w:rsidTr="001709B8">
        <w:trPr>
          <w:trHeight w:val="28"/>
          <w:jc w:val="center"/>
        </w:trPr>
        <w:tc>
          <w:tcPr>
            <w:tcW w:w="3400" w:type="dxa"/>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Social persistence with adults</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.48***</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.53***</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.30</w:t>
            </w:r>
            <w:r w:rsidRPr="00F9310F">
              <w:rPr>
                <w:vertAlign w:val="superscript"/>
              </w:rPr>
              <w:t>†</w:t>
            </w:r>
          </w:p>
        </w:tc>
        <w:tc>
          <w:tcPr>
            <w:tcW w:w="145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.36*</w:t>
            </w:r>
          </w:p>
        </w:tc>
      </w:tr>
      <w:tr w:rsidR="00E41334" w:rsidRPr="00F9310F" w:rsidTr="001709B8">
        <w:trPr>
          <w:trHeight w:val="28"/>
          <w:jc w:val="center"/>
        </w:trPr>
        <w:tc>
          <w:tcPr>
            <w:tcW w:w="3400" w:type="dxa"/>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Social persistence with children</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.50***</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.40**</w:t>
            </w:r>
          </w:p>
        </w:tc>
        <w:tc>
          <w:tcPr>
            <w:tcW w:w="1457"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.31</w:t>
            </w:r>
            <w:r w:rsidRPr="00F9310F">
              <w:rPr>
                <w:vertAlign w:val="superscript"/>
              </w:rPr>
              <w:t>†</w:t>
            </w:r>
          </w:p>
        </w:tc>
        <w:tc>
          <w:tcPr>
            <w:tcW w:w="145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.35*</w:t>
            </w:r>
          </w:p>
        </w:tc>
      </w:tr>
      <w:tr w:rsidR="00E41334" w:rsidRPr="00F9310F" w:rsidTr="001709B8">
        <w:trPr>
          <w:trHeight w:val="28"/>
          <w:jc w:val="center"/>
        </w:trPr>
        <w:tc>
          <w:tcPr>
            <w:tcW w:w="3400" w:type="dxa"/>
            <w:tcBorders>
              <w:top w:val="nil"/>
              <w:left w:val="nil"/>
              <w:right w:val="nil"/>
            </w:tcBorders>
            <w:shd w:val="clear" w:color="auto" w:fill="auto"/>
            <w:noWrap/>
            <w:vAlign w:val="center"/>
            <w:hideMark/>
          </w:tcPr>
          <w:p w:rsidR="00E41334" w:rsidRPr="00F9310F" w:rsidRDefault="00E41334" w:rsidP="001709B8">
            <w:pPr>
              <w:pStyle w:val="Tblzat"/>
            </w:pPr>
            <w:r w:rsidRPr="00F9310F">
              <w:t>Mastery pleasure</w:t>
            </w:r>
          </w:p>
        </w:tc>
        <w:tc>
          <w:tcPr>
            <w:tcW w:w="1457"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.29*</w:t>
            </w:r>
          </w:p>
        </w:tc>
        <w:tc>
          <w:tcPr>
            <w:tcW w:w="1457"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.28</w:t>
            </w:r>
          </w:p>
        </w:tc>
        <w:tc>
          <w:tcPr>
            <w:tcW w:w="1457"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.21</w:t>
            </w:r>
          </w:p>
        </w:tc>
        <w:tc>
          <w:tcPr>
            <w:tcW w:w="1458"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.32*</w:t>
            </w:r>
          </w:p>
        </w:tc>
      </w:tr>
      <w:tr w:rsidR="00E41334" w:rsidRPr="00F9310F" w:rsidTr="001709B8">
        <w:trPr>
          <w:trHeight w:val="28"/>
          <w:jc w:val="center"/>
        </w:trPr>
        <w:tc>
          <w:tcPr>
            <w:tcW w:w="3400"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pPr>
            <w:r w:rsidRPr="00F9310F">
              <w:t>Negative reactions to failure</w:t>
            </w:r>
          </w:p>
        </w:tc>
        <w:tc>
          <w:tcPr>
            <w:tcW w:w="1457"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.39**</w:t>
            </w:r>
          </w:p>
        </w:tc>
        <w:tc>
          <w:tcPr>
            <w:tcW w:w="1457"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.48**</w:t>
            </w:r>
          </w:p>
        </w:tc>
        <w:tc>
          <w:tcPr>
            <w:tcW w:w="1457"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.40*</w:t>
            </w:r>
          </w:p>
        </w:tc>
        <w:tc>
          <w:tcPr>
            <w:tcW w:w="1458"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.25</w:t>
            </w:r>
          </w:p>
        </w:tc>
      </w:tr>
    </w:tbl>
    <w:p w:rsidR="00E41334" w:rsidRPr="00FE1239" w:rsidRDefault="00E41334" w:rsidP="00E41334">
      <w:pPr>
        <w:pStyle w:val="Kpalrs"/>
        <w:spacing w:after="0"/>
      </w:pPr>
      <w:r w:rsidRPr="00FE1239">
        <w:t>Note. The p value of all the Fisher’s z tests comparing sets of 16-month intervals were &gt; .05</w:t>
      </w:r>
    </w:p>
    <w:p w:rsidR="00E41334" w:rsidRPr="00FE1239" w:rsidRDefault="00E41334" w:rsidP="00E41334">
      <w:pPr>
        <w:pStyle w:val="Kpalrs"/>
      </w:pPr>
      <w:r w:rsidRPr="00FE1239">
        <w:t>†p &lt; .06. *p &lt; .05. **p &lt; .01. ***p &lt; .001.</w:t>
      </w:r>
    </w:p>
    <w:p w:rsidR="00E41334" w:rsidRPr="00FE1239" w:rsidRDefault="00E41334" w:rsidP="00E41334">
      <w:pPr>
        <w:pStyle w:val="Text"/>
      </w:pPr>
      <w:r w:rsidRPr="00FE1239">
        <w:t xml:space="preserve">The above results indicated that almost all indicators assessed by the DMQ were stable up to age three. However, beyond 37 months of age, children’s social persistence and mastery pleasure were not stable, at least for the repeated measurements that were conducted 16 months apart but they were stable from 10 to 53 months. It should be noted that, none of the cross-wave correlations of the indicators from DMQ were </w:t>
      </w:r>
      <w:r w:rsidRPr="00FE1239">
        <w:lastRenderedPageBreak/>
        <w:t>significantly different across different sets of 16-month intervals, as indicated by Fisher’s z tests.</w:t>
      </w:r>
    </w:p>
    <w:p w:rsidR="00E41334" w:rsidRPr="00FE1239" w:rsidRDefault="00E41334" w:rsidP="00E41334">
      <w:pPr>
        <w:pStyle w:val="Sectiontitle1"/>
      </w:pPr>
      <w:r w:rsidRPr="00FE1239">
        <w:t>Bivariate Correlations between Predictor and Outcome Variables</w:t>
      </w:r>
    </w:p>
    <w:p w:rsidR="00E41334" w:rsidRPr="00556EBE" w:rsidRDefault="00E41334" w:rsidP="00E41334">
      <w:pPr>
        <w:pStyle w:val="Text"/>
      </w:pPr>
      <w:r w:rsidRPr="00556EBE">
        <w:t xml:space="preserve">Zero-order correlation coefficients </w:t>
      </w:r>
      <w:r>
        <w:rPr>
          <w:rFonts w:eastAsia="PMingLiU"/>
          <w:lang w:eastAsia="zh-TW"/>
        </w:rPr>
        <w:t>of</w:t>
      </w:r>
      <w:r w:rsidRPr="00556EBE">
        <w:t xml:space="preserve"> </w:t>
      </w:r>
      <w:r>
        <w:t>five</w:t>
      </w:r>
      <w:r w:rsidRPr="00556EBE">
        <w:t xml:space="preserve"> predict</w:t>
      </w:r>
      <w:r>
        <w:t>or</w:t>
      </w:r>
      <w:r w:rsidRPr="00556EBE">
        <w:t xml:space="preserve"> variables, namely, </w:t>
      </w:r>
      <w:r>
        <w:t xml:space="preserve">mother’s education, general competence, </w:t>
      </w:r>
      <w:r w:rsidRPr="00556EBE">
        <w:t xml:space="preserve">total </w:t>
      </w:r>
      <w:r w:rsidRPr="00556EBE">
        <w:rPr>
          <w:rFonts w:eastAsia="PMingLiU"/>
          <w:lang w:eastAsia="zh-TW"/>
        </w:rPr>
        <w:t>persistence</w:t>
      </w:r>
      <w:r w:rsidRPr="00556EBE">
        <w:t>, mastery pleasure, and negative reactions to failure</w:t>
      </w:r>
      <w:r>
        <w:t xml:space="preserve"> at Time 1 with</w:t>
      </w:r>
      <w:r w:rsidRPr="00556EBE">
        <w:t xml:space="preserve"> the outcome variable of general competence</w:t>
      </w:r>
      <w:r>
        <w:t xml:space="preserve"> at Time 2</w:t>
      </w:r>
      <w:r w:rsidRPr="00556EBE">
        <w:t xml:space="preserve"> in each set of interval</w:t>
      </w:r>
      <w:r w:rsidRPr="00556EBE">
        <w:rPr>
          <w:rFonts w:eastAsia="PMingLiU"/>
          <w:lang w:eastAsia="zh-TW"/>
        </w:rPr>
        <w:t>s</w:t>
      </w:r>
      <w:r w:rsidRPr="00556EBE">
        <w:t xml:space="preserve"> are presented in Table 3. Prior total persistence positively correlated with general competence 16 months later in all three sets of 16-month interval</w:t>
      </w:r>
      <w:r w:rsidRPr="00556EBE">
        <w:rPr>
          <w:rFonts w:eastAsia="PMingLiU"/>
          <w:lang w:eastAsia="zh-TW"/>
        </w:rPr>
        <w:t>s</w:t>
      </w:r>
      <w:r w:rsidRPr="00556EBE">
        <w:t xml:space="preserve"> (</w:t>
      </w:r>
      <w:r w:rsidRPr="00556EBE">
        <w:rPr>
          <w:i/>
        </w:rPr>
        <w:t>r</w:t>
      </w:r>
      <w:r w:rsidRPr="00556EBE">
        <w:t xml:space="preserve">s = .48~.64, </w:t>
      </w:r>
      <w:r w:rsidRPr="00556EBE">
        <w:rPr>
          <w:i/>
        </w:rPr>
        <w:t>p</w:t>
      </w:r>
      <w:r w:rsidRPr="00556EBE">
        <w:t xml:space="preserve">s &lt; .01) while total persistence at 10 months </w:t>
      </w:r>
      <w:r>
        <w:t xml:space="preserve">was </w:t>
      </w:r>
      <w:r w:rsidRPr="00556EBE">
        <w:t xml:space="preserve">correlated </w:t>
      </w:r>
      <w:r>
        <w:t xml:space="preserve">at </w:t>
      </w:r>
      <w:r w:rsidRPr="005364CE">
        <w:rPr>
          <w:i/>
        </w:rPr>
        <w:t>p</w:t>
      </w:r>
      <w:r>
        <w:t xml:space="preserve"> &lt; .06 </w:t>
      </w:r>
      <w:r w:rsidRPr="00556EBE">
        <w:t>with general competence at 53 months of age (</w:t>
      </w:r>
      <w:r w:rsidRPr="00556EBE">
        <w:rPr>
          <w:i/>
        </w:rPr>
        <w:t>r</w:t>
      </w:r>
      <w:r w:rsidRPr="00556EBE">
        <w:t xml:space="preserve"> = .31, </w:t>
      </w:r>
      <w:r w:rsidRPr="00556EBE">
        <w:rPr>
          <w:i/>
        </w:rPr>
        <w:t>p</w:t>
      </w:r>
      <w:r w:rsidRPr="00556EBE">
        <w:t xml:space="preserve"> = .056). Neither mastery pleasure nor negative reactions to failure correlated with later general competence in any set of interval</w:t>
      </w:r>
      <w:r w:rsidRPr="00556EBE">
        <w:rPr>
          <w:rFonts w:eastAsia="PMingLiU"/>
          <w:lang w:eastAsia="zh-TW"/>
        </w:rPr>
        <w:t>s</w:t>
      </w:r>
      <w:r w:rsidRPr="00556EBE">
        <w:t>. The control variable of maternal educational level also did not correlate with general competence in any set of interval</w:t>
      </w:r>
      <w:r w:rsidRPr="00556EBE">
        <w:rPr>
          <w:rFonts w:eastAsia="PMingLiU"/>
          <w:lang w:eastAsia="zh-TW"/>
        </w:rPr>
        <w:t>s</w:t>
      </w:r>
      <w:r w:rsidRPr="00556EBE">
        <w:t xml:space="preserve">. Prior general competence </w:t>
      </w:r>
      <w:r>
        <w:t xml:space="preserve">was </w:t>
      </w:r>
      <w:r w:rsidRPr="00556EBE">
        <w:t>significantly correlated with later general competence in all three sets of 16-month interval</w:t>
      </w:r>
      <w:r w:rsidRPr="00556EBE">
        <w:rPr>
          <w:rFonts w:eastAsia="PMingLiU"/>
          <w:lang w:eastAsia="zh-TW"/>
        </w:rPr>
        <w:t>s</w:t>
      </w:r>
      <w:r w:rsidRPr="00556EBE">
        <w:t xml:space="preserve"> (</w:t>
      </w:r>
      <w:r w:rsidRPr="00556EBE">
        <w:rPr>
          <w:i/>
        </w:rPr>
        <w:t>r</w:t>
      </w:r>
      <w:r w:rsidRPr="00556EBE">
        <w:t xml:space="preserve">s = .38~.56, </w:t>
      </w:r>
      <w:r w:rsidRPr="00556EBE">
        <w:rPr>
          <w:i/>
        </w:rPr>
        <w:t>p</w:t>
      </w:r>
      <w:r w:rsidRPr="00556EBE">
        <w:t>s &lt; .05); however, there was no significant association of general competence between age 10 months and age 53 months (</w:t>
      </w:r>
      <w:r w:rsidRPr="00556EBE">
        <w:rPr>
          <w:i/>
        </w:rPr>
        <w:t>r</w:t>
      </w:r>
      <w:r w:rsidRPr="00556EBE">
        <w:t xml:space="preserve"> = .27, </w:t>
      </w:r>
      <w:r w:rsidRPr="00556EBE">
        <w:rPr>
          <w:i/>
        </w:rPr>
        <w:t>p</w:t>
      </w:r>
      <w:r w:rsidRPr="00556EBE">
        <w:t xml:space="preserve"> = .097).</w:t>
      </w:r>
    </w:p>
    <w:p w:rsidR="00E41334" w:rsidRPr="00857F59" w:rsidRDefault="00E41334" w:rsidP="00E41334">
      <w:pPr>
        <w:pStyle w:val="Kpalrs"/>
      </w:pPr>
      <w:r w:rsidRPr="00857F59">
        <w:t>Table 3. Correlation Coefficients between Predictor Variables (PV) and General Competence (GC)</w:t>
      </w:r>
    </w:p>
    <w:tbl>
      <w:tblPr>
        <w:tblW w:w="9072" w:type="dxa"/>
        <w:jc w:val="center"/>
        <w:tblLayout w:type="fixed"/>
        <w:tblCellMar>
          <w:left w:w="28" w:type="dxa"/>
          <w:right w:w="28" w:type="dxa"/>
        </w:tblCellMar>
        <w:tblLook w:val="04A0" w:firstRow="1" w:lastRow="0" w:firstColumn="1" w:lastColumn="0" w:noHBand="0" w:noVBand="1"/>
      </w:tblPr>
      <w:tblGrid>
        <w:gridCol w:w="2897"/>
        <w:gridCol w:w="1543"/>
        <w:gridCol w:w="1544"/>
        <w:gridCol w:w="1544"/>
        <w:gridCol w:w="1544"/>
      </w:tblGrid>
      <w:tr w:rsidR="00E41334" w:rsidRPr="00F9310F" w:rsidTr="001709B8">
        <w:trPr>
          <w:trHeight w:val="28"/>
          <w:jc w:val="center"/>
        </w:trPr>
        <w:tc>
          <w:tcPr>
            <w:tcW w:w="2897" w:type="dxa"/>
            <w:vMerge w:val="restart"/>
            <w:tcBorders>
              <w:top w:val="single" w:sz="4" w:space="0" w:color="auto"/>
              <w:left w:val="nil"/>
              <w:right w:val="nil"/>
            </w:tcBorders>
            <w:shd w:val="clear" w:color="auto" w:fill="auto"/>
            <w:vAlign w:val="center"/>
            <w:hideMark/>
          </w:tcPr>
          <w:p w:rsidR="00E41334" w:rsidRPr="00F9310F" w:rsidRDefault="00E41334" w:rsidP="001709B8">
            <w:pPr>
              <w:pStyle w:val="Tblzat"/>
            </w:pPr>
            <w:r w:rsidRPr="00F9310F">
              <w:t>Predictor Variables</w:t>
            </w:r>
          </w:p>
        </w:tc>
        <w:tc>
          <w:tcPr>
            <w:tcW w:w="1543"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PV → GC</w:t>
            </w:r>
          </w:p>
        </w:tc>
        <w:tc>
          <w:tcPr>
            <w:tcW w:w="1544"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PV → GC</w:t>
            </w:r>
          </w:p>
        </w:tc>
        <w:tc>
          <w:tcPr>
            <w:tcW w:w="1544"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PV → GC</w:t>
            </w:r>
          </w:p>
        </w:tc>
        <w:tc>
          <w:tcPr>
            <w:tcW w:w="1544"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PV → GC</w:t>
            </w:r>
          </w:p>
        </w:tc>
      </w:tr>
      <w:tr w:rsidR="00E41334" w:rsidRPr="00F9310F" w:rsidTr="001709B8">
        <w:trPr>
          <w:trHeight w:val="28"/>
          <w:jc w:val="center"/>
        </w:trPr>
        <w:tc>
          <w:tcPr>
            <w:tcW w:w="2897" w:type="dxa"/>
            <w:vMerge/>
            <w:tcBorders>
              <w:left w:val="nil"/>
              <w:bottom w:val="single" w:sz="8" w:space="0" w:color="000000"/>
              <w:right w:val="nil"/>
            </w:tcBorders>
            <w:shd w:val="clear" w:color="auto" w:fill="auto"/>
            <w:vAlign w:val="center"/>
            <w:hideMark/>
          </w:tcPr>
          <w:p w:rsidR="00E41334" w:rsidRPr="00F9310F" w:rsidRDefault="00E41334" w:rsidP="001709B8">
            <w:pPr>
              <w:pStyle w:val="Tblzat"/>
            </w:pPr>
          </w:p>
        </w:tc>
        <w:tc>
          <w:tcPr>
            <w:tcW w:w="1543"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10 to 26</w:t>
            </w:r>
          </w:p>
          <w:p w:rsidR="00E41334" w:rsidRPr="00F9310F" w:rsidRDefault="00E41334" w:rsidP="001709B8">
            <w:pPr>
              <w:pStyle w:val="Tblzat"/>
              <w:jc w:val="center"/>
            </w:pPr>
            <w:r w:rsidRPr="00F9310F">
              <w:t>months</w:t>
            </w:r>
          </w:p>
        </w:tc>
        <w:tc>
          <w:tcPr>
            <w:tcW w:w="1544"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21 to 37</w:t>
            </w:r>
          </w:p>
          <w:p w:rsidR="00E41334" w:rsidRPr="00F9310F" w:rsidRDefault="00E41334" w:rsidP="001709B8">
            <w:pPr>
              <w:pStyle w:val="Tblzat"/>
              <w:jc w:val="center"/>
            </w:pPr>
            <w:r w:rsidRPr="00F9310F">
              <w:t>months</w:t>
            </w:r>
          </w:p>
        </w:tc>
        <w:tc>
          <w:tcPr>
            <w:tcW w:w="1544"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37 to 53</w:t>
            </w:r>
          </w:p>
          <w:p w:rsidR="00E41334" w:rsidRPr="00F9310F" w:rsidRDefault="00E41334" w:rsidP="001709B8">
            <w:pPr>
              <w:pStyle w:val="Tblzat"/>
              <w:jc w:val="center"/>
            </w:pPr>
            <w:r w:rsidRPr="00F9310F">
              <w:t>months</w:t>
            </w:r>
          </w:p>
        </w:tc>
        <w:tc>
          <w:tcPr>
            <w:tcW w:w="1544"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10 to 53</w:t>
            </w:r>
          </w:p>
          <w:p w:rsidR="00E41334" w:rsidRPr="00F9310F" w:rsidRDefault="00E41334" w:rsidP="001709B8">
            <w:pPr>
              <w:pStyle w:val="Tblzat"/>
              <w:jc w:val="center"/>
            </w:pPr>
            <w:r w:rsidRPr="00F9310F">
              <w:t>months</w:t>
            </w:r>
          </w:p>
        </w:tc>
      </w:tr>
      <w:tr w:rsidR="00E41334" w:rsidRPr="00F9310F" w:rsidTr="001709B8">
        <w:trPr>
          <w:trHeight w:val="28"/>
          <w:jc w:val="center"/>
        </w:trPr>
        <w:tc>
          <w:tcPr>
            <w:tcW w:w="2897" w:type="dxa"/>
            <w:tcBorders>
              <w:top w:val="nil"/>
              <w:left w:val="nil"/>
              <w:bottom w:val="nil"/>
              <w:right w:val="nil"/>
            </w:tcBorders>
            <w:shd w:val="clear" w:color="auto" w:fill="auto"/>
            <w:vAlign w:val="center"/>
          </w:tcPr>
          <w:p w:rsidR="00E41334" w:rsidRPr="00F9310F" w:rsidRDefault="00E41334" w:rsidP="001709B8">
            <w:pPr>
              <w:pStyle w:val="Tblzat"/>
            </w:pPr>
            <w:r w:rsidRPr="00F9310F">
              <w:t>Mother’s Educational Level</w:t>
            </w:r>
          </w:p>
        </w:tc>
        <w:tc>
          <w:tcPr>
            <w:tcW w:w="1543" w:type="dxa"/>
            <w:tcBorders>
              <w:top w:val="nil"/>
              <w:left w:val="nil"/>
              <w:bottom w:val="nil"/>
              <w:right w:val="nil"/>
            </w:tcBorders>
            <w:shd w:val="clear" w:color="auto" w:fill="auto"/>
            <w:vAlign w:val="center"/>
          </w:tcPr>
          <w:p w:rsidR="00E41334" w:rsidRPr="00F9310F" w:rsidRDefault="00E41334" w:rsidP="001709B8">
            <w:pPr>
              <w:pStyle w:val="Tblzat"/>
              <w:jc w:val="center"/>
            </w:pPr>
            <w:r w:rsidRPr="00F9310F">
              <w:t>.24</w:t>
            </w:r>
          </w:p>
        </w:tc>
        <w:tc>
          <w:tcPr>
            <w:tcW w:w="1544" w:type="dxa"/>
            <w:tcBorders>
              <w:top w:val="nil"/>
              <w:left w:val="nil"/>
              <w:bottom w:val="nil"/>
              <w:right w:val="nil"/>
            </w:tcBorders>
            <w:shd w:val="clear" w:color="auto" w:fill="auto"/>
            <w:vAlign w:val="center"/>
          </w:tcPr>
          <w:p w:rsidR="00E41334" w:rsidRPr="00F9310F" w:rsidRDefault="00E41334" w:rsidP="001709B8">
            <w:pPr>
              <w:pStyle w:val="Tblzat"/>
              <w:jc w:val="center"/>
            </w:pPr>
            <w:r w:rsidRPr="00F9310F">
              <w:t>.06</w:t>
            </w:r>
          </w:p>
        </w:tc>
        <w:tc>
          <w:tcPr>
            <w:tcW w:w="1544" w:type="dxa"/>
            <w:tcBorders>
              <w:top w:val="nil"/>
              <w:left w:val="nil"/>
              <w:bottom w:val="nil"/>
              <w:right w:val="nil"/>
            </w:tcBorders>
            <w:shd w:val="clear" w:color="auto" w:fill="auto"/>
            <w:vAlign w:val="center"/>
          </w:tcPr>
          <w:p w:rsidR="00E41334" w:rsidRPr="00F9310F" w:rsidRDefault="00E41334" w:rsidP="001709B8">
            <w:pPr>
              <w:pStyle w:val="Tblzat"/>
              <w:jc w:val="center"/>
            </w:pPr>
            <w:r w:rsidRPr="00F9310F">
              <w:t>-.10</w:t>
            </w:r>
          </w:p>
        </w:tc>
        <w:tc>
          <w:tcPr>
            <w:tcW w:w="1544" w:type="dxa"/>
            <w:tcBorders>
              <w:top w:val="nil"/>
              <w:left w:val="nil"/>
              <w:bottom w:val="nil"/>
              <w:right w:val="nil"/>
            </w:tcBorders>
            <w:shd w:val="clear" w:color="auto" w:fill="auto"/>
            <w:vAlign w:val="center"/>
          </w:tcPr>
          <w:p w:rsidR="00E41334" w:rsidRPr="00F9310F" w:rsidRDefault="00E41334" w:rsidP="001709B8">
            <w:pPr>
              <w:pStyle w:val="Tblzat"/>
              <w:jc w:val="center"/>
            </w:pPr>
            <w:r w:rsidRPr="00F9310F">
              <w:t>.10</w:t>
            </w:r>
          </w:p>
        </w:tc>
      </w:tr>
      <w:tr w:rsidR="00E41334" w:rsidRPr="00F9310F" w:rsidTr="001709B8">
        <w:trPr>
          <w:trHeight w:val="28"/>
          <w:jc w:val="center"/>
        </w:trPr>
        <w:tc>
          <w:tcPr>
            <w:tcW w:w="2897" w:type="dxa"/>
            <w:tcBorders>
              <w:top w:val="nil"/>
              <w:left w:val="nil"/>
              <w:bottom w:val="nil"/>
              <w:right w:val="nil"/>
            </w:tcBorders>
            <w:shd w:val="clear" w:color="auto" w:fill="auto"/>
            <w:vAlign w:val="center"/>
            <w:hideMark/>
          </w:tcPr>
          <w:p w:rsidR="00E41334" w:rsidRPr="00F9310F" w:rsidRDefault="00E41334" w:rsidP="001709B8">
            <w:pPr>
              <w:pStyle w:val="Tblzat"/>
            </w:pPr>
            <w:r w:rsidRPr="00F9310F">
              <w:t>General Competence</w:t>
            </w:r>
          </w:p>
        </w:tc>
        <w:tc>
          <w:tcPr>
            <w:tcW w:w="1543"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.53***</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.38*</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.56***</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.27</w:t>
            </w:r>
          </w:p>
        </w:tc>
      </w:tr>
      <w:tr w:rsidR="00E41334" w:rsidRPr="00F9310F" w:rsidTr="001709B8">
        <w:trPr>
          <w:trHeight w:val="28"/>
          <w:jc w:val="center"/>
        </w:trPr>
        <w:tc>
          <w:tcPr>
            <w:tcW w:w="2897" w:type="dxa"/>
            <w:tcBorders>
              <w:top w:val="nil"/>
              <w:left w:val="nil"/>
              <w:bottom w:val="nil"/>
              <w:right w:val="nil"/>
            </w:tcBorders>
            <w:shd w:val="clear" w:color="auto" w:fill="auto"/>
            <w:vAlign w:val="center"/>
            <w:hideMark/>
          </w:tcPr>
          <w:p w:rsidR="00E41334" w:rsidRPr="00F9310F" w:rsidRDefault="00E41334" w:rsidP="001709B8">
            <w:pPr>
              <w:pStyle w:val="Tblzat"/>
            </w:pPr>
            <w:r w:rsidRPr="00F9310F">
              <w:t>Total Persistence</w:t>
            </w:r>
          </w:p>
        </w:tc>
        <w:tc>
          <w:tcPr>
            <w:tcW w:w="154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.64***</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.48**</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.60***</w:t>
            </w:r>
          </w:p>
        </w:tc>
        <w:tc>
          <w:tcPr>
            <w:tcW w:w="1544" w:type="dxa"/>
            <w:tcBorders>
              <w:top w:val="nil"/>
              <w:left w:val="nil"/>
              <w:bottom w:val="nil"/>
              <w:right w:val="nil"/>
            </w:tcBorders>
            <w:shd w:val="clear" w:color="auto" w:fill="auto"/>
            <w:vAlign w:val="center"/>
            <w:hideMark/>
          </w:tcPr>
          <w:p w:rsidR="00E41334" w:rsidRPr="00F9310F" w:rsidRDefault="00E41334" w:rsidP="001709B8">
            <w:pPr>
              <w:pStyle w:val="Tblzat"/>
              <w:jc w:val="center"/>
            </w:pPr>
            <w:r w:rsidRPr="00F9310F">
              <w:t>.31</w:t>
            </w:r>
            <w:r w:rsidRPr="00F9310F">
              <w:rPr>
                <w:vertAlign w:val="superscript"/>
              </w:rPr>
              <w:t>†</w:t>
            </w:r>
          </w:p>
        </w:tc>
      </w:tr>
      <w:tr w:rsidR="00E41334" w:rsidRPr="00F9310F" w:rsidTr="001709B8">
        <w:trPr>
          <w:trHeight w:val="28"/>
          <w:jc w:val="center"/>
        </w:trPr>
        <w:tc>
          <w:tcPr>
            <w:tcW w:w="2897" w:type="dxa"/>
            <w:tcBorders>
              <w:top w:val="nil"/>
              <w:left w:val="nil"/>
              <w:right w:val="nil"/>
            </w:tcBorders>
            <w:shd w:val="clear" w:color="auto" w:fill="auto"/>
            <w:vAlign w:val="center"/>
            <w:hideMark/>
          </w:tcPr>
          <w:p w:rsidR="00E41334" w:rsidRPr="00F9310F" w:rsidRDefault="00E41334" w:rsidP="001709B8">
            <w:pPr>
              <w:pStyle w:val="Tblzat"/>
            </w:pPr>
            <w:r w:rsidRPr="00F9310F">
              <w:t>Mastery Pleasure</w:t>
            </w:r>
          </w:p>
        </w:tc>
        <w:tc>
          <w:tcPr>
            <w:tcW w:w="1543" w:type="dxa"/>
            <w:tcBorders>
              <w:top w:val="nil"/>
              <w:left w:val="nil"/>
              <w:right w:val="nil"/>
            </w:tcBorders>
            <w:shd w:val="clear" w:color="auto" w:fill="auto"/>
            <w:vAlign w:val="center"/>
            <w:hideMark/>
          </w:tcPr>
          <w:p w:rsidR="00E41334" w:rsidRPr="00F9310F" w:rsidRDefault="00E41334" w:rsidP="001709B8">
            <w:pPr>
              <w:pStyle w:val="Tblzat"/>
              <w:jc w:val="center"/>
            </w:pPr>
            <w:r w:rsidRPr="00F9310F">
              <w:t>.08</w:t>
            </w:r>
          </w:p>
        </w:tc>
        <w:tc>
          <w:tcPr>
            <w:tcW w:w="1544"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.26</w:t>
            </w:r>
          </w:p>
        </w:tc>
        <w:tc>
          <w:tcPr>
            <w:tcW w:w="1544" w:type="dxa"/>
            <w:tcBorders>
              <w:top w:val="nil"/>
              <w:left w:val="nil"/>
              <w:right w:val="nil"/>
            </w:tcBorders>
            <w:shd w:val="clear" w:color="auto" w:fill="auto"/>
            <w:vAlign w:val="center"/>
            <w:hideMark/>
          </w:tcPr>
          <w:p w:rsidR="00E41334" w:rsidRPr="00F9310F" w:rsidRDefault="00E41334" w:rsidP="001709B8">
            <w:pPr>
              <w:pStyle w:val="Tblzat"/>
              <w:jc w:val="center"/>
            </w:pPr>
            <w:r w:rsidRPr="00F9310F">
              <w:t>.25</w:t>
            </w:r>
          </w:p>
        </w:tc>
        <w:tc>
          <w:tcPr>
            <w:tcW w:w="1544" w:type="dxa"/>
            <w:tcBorders>
              <w:top w:val="nil"/>
              <w:left w:val="nil"/>
              <w:right w:val="nil"/>
            </w:tcBorders>
            <w:shd w:val="clear" w:color="auto" w:fill="auto"/>
            <w:vAlign w:val="center"/>
            <w:hideMark/>
          </w:tcPr>
          <w:p w:rsidR="00E41334" w:rsidRPr="00F9310F" w:rsidRDefault="00E41334" w:rsidP="001709B8">
            <w:pPr>
              <w:pStyle w:val="Tblzat"/>
              <w:jc w:val="center"/>
            </w:pPr>
            <w:r w:rsidRPr="00F9310F">
              <w:t>-.18</w:t>
            </w:r>
          </w:p>
        </w:tc>
      </w:tr>
      <w:tr w:rsidR="00E41334" w:rsidRPr="00F9310F" w:rsidTr="001709B8">
        <w:trPr>
          <w:trHeight w:val="28"/>
          <w:jc w:val="center"/>
        </w:trPr>
        <w:tc>
          <w:tcPr>
            <w:tcW w:w="2897" w:type="dxa"/>
            <w:tcBorders>
              <w:top w:val="nil"/>
              <w:left w:val="nil"/>
              <w:bottom w:val="single" w:sz="4" w:space="0" w:color="auto"/>
              <w:right w:val="nil"/>
            </w:tcBorders>
            <w:shd w:val="clear" w:color="auto" w:fill="auto"/>
            <w:vAlign w:val="center"/>
            <w:hideMark/>
          </w:tcPr>
          <w:p w:rsidR="00E41334" w:rsidRPr="00F9310F" w:rsidRDefault="00E41334" w:rsidP="001709B8">
            <w:pPr>
              <w:pStyle w:val="Tblzat"/>
            </w:pPr>
            <w:r w:rsidRPr="00F9310F">
              <w:t>Negative Reactions to Failure</w:t>
            </w:r>
          </w:p>
        </w:tc>
        <w:tc>
          <w:tcPr>
            <w:tcW w:w="1543" w:type="dxa"/>
            <w:tcBorders>
              <w:top w:val="nil"/>
              <w:left w:val="nil"/>
              <w:bottom w:val="single" w:sz="4" w:space="0" w:color="auto"/>
              <w:right w:val="nil"/>
            </w:tcBorders>
            <w:shd w:val="clear" w:color="auto" w:fill="auto"/>
            <w:vAlign w:val="center"/>
            <w:hideMark/>
          </w:tcPr>
          <w:p w:rsidR="00E41334" w:rsidRPr="00F9310F" w:rsidRDefault="00E41334" w:rsidP="001709B8">
            <w:pPr>
              <w:pStyle w:val="Tblzat"/>
              <w:jc w:val="center"/>
            </w:pPr>
            <w:r w:rsidRPr="00F9310F">
              <w:t>-.15</w:t>
            </w:r>
          </w:p>
        </w:tc>
        <w:tc>
          <w:tcPr>
            <w:tcW w:w="1544" w:type="dxa"/>
            <w:tcBorders>
              <w:top w:val="nil"/>
              <w:left w:val="nil"/>
              <w:bottom w:val="single" w:sz="4" w:space="0" w:color="auto"/>
              <w:right w:val="nil"/>
            </w:tcBorders>
            <w:shd w:val="clear" w:color="auto" w:fill="auto"/>
            <w:vAlign w:val="center"/>
            <w:hideMark/>
          </w:tcPr>
          <w:p w:rsidR="00E41334" w:rsidRPr="00F9310F" w:rsidRDefault="00E41334" w:rsidP="001709B8">
            <w:pPr>
              <w:pStyle w:val="Tblzat"/>
              <w:jc w:val="center"/>
            </w:pPr>
            <w:r w:rsidRPr="00F9310F">
              <w:t>-.26</w:t>
            </w:r>
          </w:p>
        </w:tc>
        <w:tc>
          <w:tcPr>
            <w:tcW w:w="1544"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-.21</w:t>
            </w:r>
          </w:p>
        </w:tc>
        <w:tc>
          <w:tcPr>
            <w:tcW w:w="1544" w:type="dxa"/>
            <w:tcBorders>
              <w:top w:val="nil"/>
              <w:left w:val="nil"/>
              <w:bottom w:val="single" w:sz="4" w:space="0" w:color="auto"/>
              <w:right w:val="nil"/>
            </w:tcBorders>
            <w:shd w:val="clear" w:color="auto" w:fill="auto"/>
            <w:vAlign w:val="center"/>
            <w:hideMark/>
          </w:tcPr>
          <w:p w:rsidR="00E41334" w:rsidRPr="00F9310F" w:rsidRDefault="00E41334" w:rsidP="001709B8">
            <w:pPr>
              <w:pStyle w:val="Tblzat"/>
              <w:jc w:val="center"/>
            </w:pPr>
            <w:r w:rsidRPr="00F9310F">
              <w:t>-.02</w:t>
            </w:r>
          </w:p>
        </w:tc>
      </w:tr>
    </w:tbl>
    <w:p w:rsidR="00E41334" w:rsidRPr="00556EBE" w:rsidRDefault="00E41334" w:rsidP="00E41334">
      <w:pPr>
        <w:pStyle w:val="Kpalrs"/>
      </w:pPr>
      <w:r w:rsidRPr="00556EBE">
        <w:t xml:space="preserve">Note. </w:t>
      </w:r>
      <w:r w:rsidRPr="00556EBE">
        <w:rPr>
          <w:vertAlign w:val="superscript"/>
        </w:rPr>
        <w:t>†</w:t>
      </w:r>
      <w:r w:rsidRPr="00556EBE">
        <w:t xml:space="preserve">p &lt; .06. *p &lt; .05. **p &lt; .01. ***p &lt; .001. </w:t>
      </w:r>
    </w:p>
    <w:p w:rsidR="00E41334" w:rsidRPr="00556EBE" w:rsidRDefault="00E41334" w:rsidP="00E41334">
      <w:pPr>
        <w:pStyle w:val="Sectiontitle1"/>
        <w:rPr>
          <w:lang w:val="en-US"/>
        </w:rPr>
      </w:pPr>
      <w:r w:rsidRPr="00556EBE">
        <w:rPr>
          <w:lang w:val="en-US"/>
        </w:rPr>
        <w:t>Regression Analyses on Children’s General Competence</w:t>
      </w:r>
    </w:p>
    <w:p w:rsidR="00E41334" w:rsidRPr="00556EBE" w:rsidRDefault="00E41334" w:rsidP="00E41334">
      <w:pPr>
        <w:pStyle w:val="Text"/>
      </w:pPr>
      <w:r w:rsidRPr="00556EBE">
        <w:t>Hierarchical regression analysis was conducted to examine the contribution of the three indicators of mastery motivation to later general competence. Four separate regression models for the three sets of 16-month interval</w:t>
      </w:r>
      <w:r w:rsidRPr="00556EBE">
        <w:rPr>
          <w:rFonts w:eastAsia="PMingLiU"/>
          <w:lang w:eastAsia="zh-TW"/>
        </w:rPr>
        <w:t>s</w:t>
      </w:r>
      <w:r w:rsidRPr="00556EBE">
        <w:t xml:space="preserve"> and </w:t>
      </w:r>
      <w:r>
        <w:t>for the interval</w:t>
      </w:r>
      <w:r w:rsidRPr="00556EBE">
        <w:rPr>
          <w:rFonts w:eastAsia="PMingLiU"/>
          <w:lang w:eastAsia="zh-TW"/>
        </w:rPr>
        <w:t xml:space="preserve"> from</w:t>
      </w:r>
      <w:r w:rsidRPr="00556EBE">
        <w:t xml:space="preserve"> 10 to 53 months were examined. Child’s gender, mother’s educational level, and general competence assessed at the first wave in the particular </w:t>
      </w:r>
      <w:r>
        <w:t xml:space="preserve">interval </w:t>
      </w:r>
      <w:r w:rsidRPr="00556EBE">
        <w:t>were entered in the first step as control variables. In the second step, the three indicators of mastery motivation</w:t>
      </w:r>
      <w:r w:rsidRPr="00556EBE" w:rsidDel="00230DF5">
        <w:t xml:space="preserve"> </w:t>
      </w:r>
      <w:r w:rsidRPr="00556EBE">
        <w:t xml:space="preserve">assessed at the </w:t>
      </w:r>
      <w:r>
        <w:t>first</w:t>
      </w:r>
      <w:r w:rsidRPr="00556EBE">
        <w:t xml:space="preserve"> wave in that </w:t>
      </w:r>
      <w:r>
        <w:t>interval</w:t>
      </w:r>
      <w:r w:rsidRPr="00556EBE">
        <w:t xml:space="preserve"> entered the model simultaneously. </w:t>
      </w:r>
      <w:r>
        <w:t>General competence at the second wave in that interval was the outcome variable.</w:t>
      </w:r>
    </w:p>
    <w:p w:rsidR="00E41334" w:rsidRPr="00556EBE" w:rsidRDefault="00E41334" w:rsidP="00E41334">
      <w:pPr>
        <w:pStyle w:val="Text"/>
      </w:pPr>
      <w:r w:rsidRPr="00556EBE">
        <w:t>The control variables accounted for 33% (</w:t>
      </w:r>
      <w:r w:rsidRPr="00556EBE">
        <w:rPr>
          <w:i/>
        </w:rPr>
        <w:t>F</w:t>
      </w:r>
      <w:r w:rsidRPr="00556EBE">
        <w:t xml:space="preserve">(3, 49) = 8.06, </w:t>
      </w:r>
      <w:r w:rsidRPr="00556EBE">
        <w:rPr>
          <w:i/>
        </w:rPr>
        <w:t>p</w:t>
      </w:r>
      <w:r w:rsidRPr="00556EBE">
        <w:t xml:space="preserve"> &lt; .001), 16% (</w:t>
      </w:r>
      <w:r w:rsidRPr="00556EBE">
        <w:rPr>
          <w:i/>
        </w:rPr>
        <w:t>F</w:t>
      </w:r>
      <w:r w:rsidRPr="00556EBE">
        <w:t xml:space="preserve">(3, 39) = 2.52, </w:t>
      </w:r>
      <w:r w:rsidRPr="00556EBE">
        <w:rPr>
          <w:i/>
        </w:rPr>
        <w:t>p</w:t>
      </w:r>
      <w:r w:rsidRPr="00556EBE">
        <w:t xml:space="preserve"> = .072), 33% (</w:t>
      </w:r>
      <w:r w:rsidRPr="00556EBE">
        <w:rPr>
          <w:i/>
        </w:rPr>
        <w:t>F</w:t>
      </w:r>
      <w:r w:rsidRPr="00556EBE">
        <w:t xml:space="preserve">(3, 36) = 6.04, </w:t>
      </w:r>
      <w:r w:rsidRPr="00556EBE">
        <w:rPr>
          <w:i/>
        </w:rPr>
        <w:t>p</w:t>
      </w:r>
      <w:r w:rsidRPr="00556EBE">
        <w:t xml:space="preserve"> = .002), and 24% (</w:t>
      </w:r>
      <w:r w:rsidRPr="00556EBE">
        <w:rPr>
          <w:i/>
        </w:rPr>
        <w:t>F</w:t>
      </w:r>
      <w:r w:rsidRPr="00556EBE">
        <w:t xml:space="preserve">(3, 36) = 3.77, </w:t>
      </w:r>
      <w:r w:rsidRPr="00556EBE">
        <w:rPr>
          <w:i/>
        </w:rPr>
        <w:t>p</w:t>
      </w:r>
      <w:r w:rsidRPr="00556EBE">
        <w:t xml:space="preserve"> = .019) of later general competence in the three sets of 16-month interval</w:t>
      </w:r>
      <w:r w:rsidRPr="00556EBE">
        <w:rPr>
          <w:rFonts w:eastAsia="PMingLiU"/>
          <w:lang w:eastAsia="zh-TW"/>
        </w:rPr>
        <w:t>s</w:t>
      </w:r>
      <w:r w:rsidRPr="00556EBE">
        <w:t xml:space="preserve"> and </w:t>
      </w:r>
      <w:r w:rsidRPr="00556EBE">
        <w:rPr>
          <w:rFonts w:eastAsia="PMingLiU"/>
          <w:lang w:eastAsia="zh-TW"/>
        </w:rPr>
        <w:t>from</w:t>
      </w:r>
      <w:r w:rsidRPr="00556EBE">
        <w:t xml:space="preserve"> 10 to 53 months, respectively. As shown in Table 4, none of the main effects of gender </w:t>
      </w:r>
      <w:r w:rsidRPr="00556EBE">
        <w:rPr>
          <w:rFonts w:eastAsia="PMingLiU"/>
          <w:lang w:eastAsia="zh-TW"/>
        </w:rPr>
        <w:t>or</w:t>
      </w:r>
      <w:r w:rsidRPr="00556EBE">
        <w:t xml:space="preserve"> maternal educational level w</w:t>
      </w:r>
      <w:r w:rsidRPr="00556EBE">
        <w:rPr>
          <w:rFonts w:eastAsia="PMingLiU"/>
          <w:lang w:eastAsia="zh-TW"/>
        </w:rPr>
        <w:t>ere</w:t>
      </w:r>
      <w:r w:rsidRPr="00556EBE">
        <w:t xml:space="preserve"> significant in any </w:t>
      </w:r>
      <w:r w:rsidRPr="00556EBE">
        <w:rPr>
          <w:rFonts w:eastAsia="PMingLiU"/>
          <w:lang w:eastAsia="zh-TW"/>
        </w:rPr>
        <w:t xml:space="preserve">of the three </w:t>
      </w:r>
      <w:r w:rsidRPr="00556EBE">
        <w:t>set</w:t>
      </w:r>
      <w:r w:rsidRPr="00556EBE">
        <w:rPr>
          <w:rFonts w:eastAsia="PMingLiU"/>
          <w:lang w:eastAsia="zh-TW"/>
        </w:rPr>
        <w:t>s</w:t>
      </w:r>
      <w:r w:rsidRPr="00556EBE">
        <w:t xml:space="preserve"> of 16-month interval</w:t>
      </w:r>
      <w:r w:rsidRPr="00556EBE">
        <w:rPr>
          <w:rFonts w:eastAsia="PMingLiU"/>
          <w:lang w:eastAsia="zh-TW"/>
        </w:rPr>
        <w:t>s</w:t>
      </w:r>
      <w:r w:rsidRPr="00556EBE">
        <w:t xml:space="preserve">. However, girls’ general competence was higher than that of boys at 53 months </w:t>
      </w:r>
      <w:r w:rsidRPr="00556EBE">
        <w:lastRenderedPageBreak/>
        <w:t xml:space="preserve">(β = 0.41, </w:t>
      </w:r>
      <w:r w:rsidRPr="00556EBE">
        <w:rPr>
          <w:i/>
        </w:rPr>
        <w:t>t</w:t>
      </w:r>
      <w:r w:rsidRPr="00556EBE">
        <w:t xml:space="preserve">(39) = 2.73, </w:t>
      </w:r>
      <w:r w:rsidRPr="00556EBE">
        <w:rPr>
          <w:i/>
        </w:rPr>
        <w:t>p</w:t>
      </w:r>
      <w:r w:rsidRPr="00556EBE">
        <w:t xml:space="preserve"> = .01). Similar to the results of</w:t>
      </w:r>
      <w:r w:rsidRPr="00556EBE">
        <w:rPr>
          <w:rFonts w:eastAsia="PMingLiU"/>
          <w:lang w:eastAsia="zh-TW"/>
        </w:rPr>
        <w:t xml:space="preserve"> the</w:t>
      </w:r>
      <w:r w:rsidRPr="00556EBE">
        <w:t xml:space="preserve"> correlation analyses, prior general competence significantly predicted later general competence in all three sets of 16-month interval</w:t>
      </w:r>
      <w:r w:rsidRPr="00556EBE">
        <w:rPr>
          <w:rFonts w:eastAsia="PMingLiU"/>
          <w:lang w:eastAsia="zh-TW"/>
        </w:rPr>
        <w:t>s</w:t>
      </w:r>
      <w:r w:rsidRPr="00556EBE">
        <w:t xml:space="preserve"> (10 to 26 months: β = 0.50, </w:t>
      </w:r>
      <w:r w:rsidRPr="00556EBE">
        <w:rPr>
          <w:i/>
        </w:rPr>
        <w:t>t</w:t>
      </w:r>
      <w:r w:rsidRPr="00556EBE">
        <w:t xml:space="preserve">(42) = 4.26, </w:t>
      </w:r>
      <w:r w:rsidRPr="00556EBE">
        <w:rPr>
          <w:i/>
        </w:rPr>
        <w:t>p</w:t>
      </w:r>
      <w:r w:rsidRPr="00556EBE">
        <w:t xml:space="preserve"> &lt; .001; 21 to 37 months</w:t>
      </w:r>
      <w:r w:rsidRPr="00556EBE" w:rsidDel="002648BE">
        <w:t xml:space="preserve"> </w:t>
      </w:r>
      <w:r w:rsidRPr="00556EBE">
        <w:t>: β = 0.38,</w:t>
      </w:r>
      <w:r>
        <w:t xml:space="preserve"> </w:t>
      </w:r>
      <w:r w:rsidRPr="00556EBE">
        <w:rPr>
          <w:i/>
        </w:rPr>
        <w:t>t</w:t>
      </w:r>
      <w:r w:rsidRPr="00556EBE">
        <w:t xml:space="preserve">(42) = 2.62, </w:t>
      </w:r>
      <w:r w:rsidRPr="00556EBE">
        <w:rPr>
          <w:i/>
        </w:rPr>
        <w:t>p</w:t>
      </w:r>
      <w:r w:rsidRPr="00556EBE">
        <w:t xml:space="preserve"> = .013; 37 to 53 months: β = 0.57, </w:t>
      </w:r>
      <w:r w:rsidRPr="00556EBE">
        <w:rPr>
          <w:i/>
        </w:rPr>
        <w:t>t</w:t>
      </w:r>
      <w:r w:rsidRPr="00556EBE">
        <w:t xml:space="preserve">(39) = 4.15, </w:t>
      </w:r>
      <w:r w:rsidRPr="00556EBE">
        <w:rPr>
          <w:i/>
        </w:rPr>
        <w:t>p</w:t>
      </w:r>
      <w:r w:rsidRPr="00556EBE">
        <w:t xml:space="preserve"> &lt; .001). However, general competence at 10 months </w:t>
      </w:r>
      <w:r w:rsidRPr="00556EBE">
        <w:rPr>
          <w:rFonts w:eastAsia="PMingLiU"/>
          <w:lang w:eastAsia="zh-TW"/>
        </w:rPr>
        <w:t>did</w:t>
      </w:r>
      <w:r w:rsidRPr="00556EBE">
        <w:t xml:space="preserve"> not predict that at 53 months (β = 0.15, </w:t>
      </w:r>
      <w:r w:rsidRPr="00556EBE">
        <w:rPr>
          <w:i/>
        </w:rPr>
        <w:t>t</w:t>
      </w:r>
      <w:r w:rsidRPr="00556EBE">
        <w:t xml:space="preserve">(39) = .10, </w:t>
      </w:r>
      <w:r w:rsidRPr="00556EBE">
        <w:rPr>
          <w:i/>
        </w:rPr>
        <w:t>ns</w:t>
      </w:r>
      <w:r w:rsidRPr="00556EBE">
        <w:t xml:space="preserve">). </w:t>
      </w:r>
    </w:p>
    <w:p w:rsidR="00E41334" w:rsidRPr="00556EBE" w:rsidRDefault="00E41334" w:rsidP="00E41334">
      <w:pPr>
        <w:pStyle w:val="Text"/>
        <w:rPr>
          <w:rFonts w:eastAsia="PMingLiU"/>
          <w:lang w:eastAsia="zh-TW"/>
        </w:rPr>
      </w:pPr>
      <w:r>
        <w:t>When the three p</w:t>
      </w:r>
      <w:r w:rsidRPr="00556EBE">
        <w:t xml:space="preserve">rior mastery motivation </w:t>
      </w:r>
      <w:r>
        <w:t>variables were added at step 2, the increase in the variance of later competence</w:t>
      </w:r>
      <w:r w:rsidRPr="00556EBE">
        <w:t xml:space="preserve"> accounted for </w:t>
      </w:r>
      <w:r>
        <w:t xml:space="preserve">was </w:t>
      </w:r>
      <w:r w:rsidRPr="00556EBE">
        <w:t>22% (</w:t>
      </w:r>
      <w:r w:rsidRPr="00556EBE">
        <w:rPr>
          <w:i/>
        </w:rPr>
        <w:t>F</w:t>
      </w:r>
      <w:r w:rsidRPr="00556EBE">
        <w:t>(3,</w:t>
      </w:r>
      <w:r w:rsidRPr="00EA7502">
        <w:rPr>
          <w:rFonts w:ascii="PMingLiU" w:eastAsia="PMingLiU" w:hAnsi="PMingLiU" w:hint="eastAsia"/>
          <w:lang w:eastAsia="zh-TW"/>
        </w:rPr>
        <w:t xml:space="preserve"> </w:t>
      </w:r>
      <w:r w:rsidRPr="00556EBE">
        <w:t xml:space="preserve">46) = 7.35, </w:t>
      </w:r>
      <w:r w:rsidRPr="00556EBE">
        <w:rPr>
          <w:i/>
        </w:rPr>
        <w:t>p</w:t>
      </w:r>
      <w:r w:rsidRPr="00556EBE">
        <w:t xml:space="preserve"> &lt; .001), 9% (</w:t>
      </w:r>
      <w:r w:rsidRPr="00556EBE">
        <w:rPr>
          <w:i/>
        </w:rPr>
        <w:t>F</w:t>
      </w:r>
      <w:r w:rsidRPr="00556EBE">
        <w:t>(3,</w:t>
      </w:r>
      <w:r w:rsidRPr="00EA7502">
        <w:rPr>
          <w:rFonts w:ascii="PMingLiU" w:eastAsia="PMingLiU" w:hAnsi="PMingLiU" w:hint="eastAsia"/>
          <w:lang w:eastAsia="zh-TW"/>
        </w:rPr>
        <w:t xml:space="preserve"> </w:t>
      </w:r>
      <w:r w:rsidRPr="00556EBE">
        <w:t xml:space="preserve">36) = 1.58, </w:t>
      </w:r>
      <w:r w:rsidRPr="00556EBE">
        <w:rPr>
          <w:i/>
        </w:rPr>
        <w:t>p</w:t>
      </w:r>
      <w:r w:rsidRPr="00556EBE">
        <w:t xml:space="preserve"> = .22), 9% (</w:t>
      </w:r>
      <w:r w:rsidRPr="00556EBE">
        <w:rPr>
          <w:i/>
        </w:rPr>
        <w:t>F</w:t>
      </w:r>
      <w:r w:rsidRPr="00556EBE">
        <w:t>(3,</w:t>
      </w:r>
      <w:r w:rsidRPr="00EA7502">
        <w:rPr>
          <w:rFonts w:ascii="PMingLiU" w:eastAsia="PMingLiU" w:hAnsi="PMingLiU" w:hint="eastAsia"/>
          <w:lang w:eastAsia="zh-TW"/>
        </w:rPr>
        <w:t xml:space="preserve"> </w:t>
      </w:r>
      <w:r w:rsidRPr="00556EBE">
        <w:t xml:space="preserve">33) = 1.76, </w:t>
      </w:r>
      <w:r w:rsidRPr="00556EBE">
        <w:rPr>
          <w:i/>
        </w:rPr>
        <w:t>p</w:t>
      </w:r>
      <w:r w:rsidRPr="00556EBE">
        <w:t xml:space="preserve"> = .17), and 17% (</w:t>
      </w:r>
      <w:r w:rsidRPr="00556EBE">
        <w:rPr>
          <w:i/>
        </w:rPr>
        <w:t>F</w:t>
      </w:r>
      <w:r w:rsidRPr="00556EBE">
        <w:t>(3,</w:t>
      </w:r>
      <w:r w:rsidRPr="00EA7502">
        <w:rPr>
          <w:rFonts w:ascii="PMingLiU" w:eastAsia="PMingLiU" w:hAnsi="PMingLiU" w:hint="eastAsia"/>
          <w:lang w:eastAsia="zh-TW"/>
        </w:rPr>
        <w:t xml:space="preserve"> </w:t>
      </w:r>
      <w:r w:rsidRPr="00556EBE">
        <w:t xml:space="preserve">33) = 3.18, </w:t>
      </w:r>
      <w:r w:rsidRPr="00556EBE">
        <w:rPr>
          <w:i/>
        </w:rPr>
        <w:t>p</w:t>
      </w:r>
      <w:r w:rsidRPr="00556EBE">
        <w:t xml:space="preserve"> = .037) in each of the 16-month interval</w:t>
      </w:r>
      <w:r w:rsidRPr="00556EBE">
        <w:rPr>
          <w:rFonts w:eastAsia="PMingLiU"/>
          <w:lang w:eastAsia="zh-TW"/>
        </w:rPr>
        <w:t>s</w:t>
      </w:r>
      <w:r w:rsidRPr="00556EBE">
        <w:t xml:space="preserve"> and </w:t>
      </w:r>
      <w:r w:rsidRPr="00556EBE">
        <w:rPr>
          <w:rFonts w:eastAsia="PMingLiU"/>
          <w:lang w:eastAsia="zh-TW"/>
        </w:rPr>
        <w:t>from</w:t>
      </w:r>
      <w:r w:rsidRPr="00556EBE">
        <w:t xml:space="preserve"> 10 to 53 months, respectively. Specifically, </w:t>
      </w:r>
      <w:r>
        <w:t xml:space="preserve">in combination with the other five variables entered at step 2, </w:t>
      </w:r>
      <w:r w:rsidRPr="00556EBE">
        <w:t xml:space="preserve">prior total persistence </w:t>
      </w:r>
      <w:r>
        <w:t xml:space="preserve">added </w:t>
      </w:r>
      <w:r w:rsidRPr="00556EBE">
        <w:t xml:space="preserve">positively </w:t>
      </w:r>
      <w:r>
        <w:t xml:space="preserve">to the </w:t>
      </w:r>
      <w:r w:rsidRPr="00556EBE">
        <w:t>predict</w:t>
      </w:r>
      <w:r>
        <w:t>ion of</w:t>
      </w:r>
      <w:r w:rsidRPr="00556EBE">
        <w:t xml:space="preserve"> later general competence in all three sets of 16-month interval</w:t>
      </w:r>
      <w:r w:rsidRPr="00556EBE">
        <w:rPr>
          <w:rFonts w:eastAsia="PMingLiU"/>
          <w:lang w:eastAsia="zh-TW"/>
        </w:rPr>
        <w:t>s</w:t>
      </w:r>
      <w:r w:rsidRPr="00556EBE">
        <w:t xml:space="preserve"> (β = 0.63, </w:t>
      </w:r>
      <w:r w:rsidRPr="00556EBE">
        <w:rPr>
          <w:i/>
        </w:rPr>
        <w:t>t</w:t>
      </w:r>
      <w:r w:rsidRPr="00556EBE">
        <w:t xml:space="preserve">(52) = 6.33, </w:t>
      </w:r>
      <w:r w:rsidRPr="00556EBE">
        <w:rPr>
          <w:i/>
        </w:rPr>
        <w:t>p</w:t>
      </w:r>
      <w:r w:rsidRPr="00556EBE">
        <w:t xml:space="preserve"> &lt; .001; β = 0.43, </w:t>
      </w:r>
      <w:r w:rsidRPr="00556EBE">
        <w:rPr>
          <w:i/>
        </w:rPr>
        <w:t>t</w:t>
      </w:r>
      <w:r w:rsidRPr="00556EBE">
        <w:t xml:space="preserve">(42) = 2.14, </w:t>
      </w:r>
      <w:r w:rsidRPr="00556EBE">
        <w:rPr>
          <w:i/>
        </w:rPr>
        <w:t>p</w:t>
      </w:r>
      <w:r w:rsidRPr="00556EBE">
        <w:t xml:space="preserve"> = .039 ; β = 0.54, </w:t>
      </w:r>
      <w:r w:rsidRPr="00556EBE">
        <w:rPr>
          <w:i/>
        </w:rPr>
        <w:t>t</w:t>
      </w:r>
      <w:r w:rsidRPr="00556EBE">
        <w:t xml:space="preserve">(39) = 2.12, </w:t>
      </w:r>
      <w:r w:rsidRPr="00556EBE">
        <w:rPr>
          <w:i/>
        </w:rPr>
        <w:t>p</w:t>
      </w:r>
      <w:r w:rsidRPr="00556EBE">
        <w:t xml:space="preserve"> = .042). The predictability of total persistence at 10 months to later general competence at 53 months was significant </w:t>
      </w:r>
      <w:r>
        <w:t xml:space="preserve">only at </w:t>
      </w:r>
      <w:r>
        <w:rPr>
          <w:i/>
        </w:rPr>
        <w:t xml:space="preserve">p </w:t>
      </w:r>
      <w:r>
        <w:t xml:space="preserve">= .07 </w:t>
      </w:r>
      <w:r w:rsidRPr="00556EBE">
        <w:t xml:space="preserve">(β = 0.35, </w:t>
      </w:r>
      <w:r w:rsidRPr="00556EBE">
        <w:rPr>
          <w:i/>
        </w:rPr>
        <w:t>t</w:t>
      </w:r>
      <w:r w:rsidRPr="00556EBE">
        <w:t xml:space="preserve">(39) = 1.91, </w:t>
      </w:r>
      <w:r w:rsidRPr="00556EBE">
        <w:rPr>
          <w:i/>
        </w:rPr>
        <w:t>p</w:t>
      </w:r>
      <w:r w:rsidRPr="00556EBE">
        <w:t xml:space="preserve"> = .07). Mastery pleasure at 10 months </w:t>
      </w:r>
      <w:r w:rsidRPr="00556EBE">
        <w:rPr>
          <w:rFonts w:eastAsia="PMingLiU"/>
          <w:lang w:eastAsia="zh-TW"/>
        </w:rPr>
        <w:t xml:space="preserve">in combination with other predictor variables </w:t>
      </w:r>
      <w:r w:rsidRPr="00556EBE">
        <w:t xml:space="preserve">negatively predicted general competence both at 26 months and 53 months (β = -0.33, </w:t>
      </w:r>
      <w:r w:rsidRPr="00EA202E">
        <w:rPr>
          <w:i/>
        </w:rPr>
        <w:t>t</w:t>
      </w:r>
      <w:r w:rsidRPr="00EA202E">
        <w:t>(52) = -2.83,</w:t>
      </w:r>
      <w:r w:rsidRPr="00556EBE">
        <w:t xml:space="preserve"> </w:t>
      </w:r>
      <w:r w:rsidRPr="00556EBE">
        <w:rPr>
          <w:i/>
        </w:rPr>
        <w:t>p</w:t>
      </w:r>
      <w:r w:rsidRPr="00556EBE">
        <w:t xml:space="preserve"> = .007; β = -0.42, </w:t>
      </w:r>
      <w:r w:rsidRPr="00556EBE">
        <w:rPr>
          <w:i/>
        </w:rPr>
        <w:t>t</w:t>
      </w:r>
      <w:r w:rsidRPr="00556EBE">
        <w:t xml:space="preserve">(39) = -2.74, </w:t>
      </w:r>
      <w:r w:rsidRPr="00556EBE">
        <w:rPr>
          <w:i/>
        </w:rPr>
        <w:t>p</w:t>
      </w:r>
      <w:r w:rsidRPr="00556EBE">
        <w:t xml:space="preserve"> = .01). There was no significant predictive power </w:t>
      </w:r>
      <w:r w:rsidRPr="00151579">
        <w:rPr>
          <w:rFonts w:eastAsia="PMingLiU" w:hint="eastAsia"/>
          <w:lang w:eastAsia="zh-TW"/>
        </w:rPr>
        <w:t>for</w:t>
      </w:r>
      <w:r w:rsidRPr="00556EBE">
        <w:t xml:space="preserve"> negative reactions to failure to later general competence </w:t>
      </w:r>
      <w:r w:rsidRPr="00556EBE">
        <w:rPr>
          <w:rFonts w:eastAsia="PMingLiU"/>
          <w:lang w:eastAsia="zh-TW"/>
        </w:rPr>
        <w:t>at any age</w:t>
      </w:r>
      <w:r w:rsidRPr="00556EBE">
        <w:t xml:space="preserve">. </w:t>
      </w:r>
    </w:p>
    <w:p w:rsidR="00E41334" w:rsidRPr="00926C0D" w:rsidRDefault="00E41334" w:rsidP="00E41334">
      <w:pPr>
        <w:pStyle w:val="Kpalrs"/>
      </w:pPr>
      <w:r w:rsidRPr="00926C0D">
        <w:t>Table 4. Hierarchical Regression Analyses on General Competence</w:t>
      </w:r>
    </w:p>
    <w:tbl>
      <w:tblPr>
        <w:tblW w:w="9072" w:type="dxa"/>
        <w:jc w:val="center"/>
        <w:tblCellMar>
          <w:left w:w="28" w:type="dxa"/>
          <w:right w:w="28" w:type="dxa"/>
        </w:tblCellMar>
        <w:tblLook w:val="04A0" w:firstRow="1" w:lastRow="0" w:firstColumn="1" w:lastColumn="0" w:noHBand="0" w:noVBand="1"/>
      </w:tblPr>
      <w:tblGrid>
        <w:gridCol w:w="2643"/>
        <w:gridCol w:w="15"/>
        <w:gridCol w:w="789"/>
        <w:gridCol w:w="688"/>
        <w:gridCol w:w="99"/>
        <w:gridCol w:w="774"/>
        <w:gridCol w:w="765"/>
        <w:gridCol w:w="15"/>
        <w:gridCol w:w="15"/>
        <w:gridCol w:w="45"/>
        <w:gridCol w:w="16"/>
        <w:gridCol w:w="47"/>
        <w:gridCol w:w="893"/>
        <w:gridCol w:w="705"/>
        <w:gridCol w:w="15"/>
        <w:gridCol w:w="84"/>
        <w:gridCol w:w="15"/>
        <w:gridCol w:w="838"/>
        <w:gridCol w:w="611"/>
      </w:tblGrid>
      <w:tr w:rsidR="00E41334" w:rsidRPr="00F9310F" w:rsidTr="001709B8">
        <w:trPr>
          <w:trHeight w:val="113"/>
          <w:jc w:val="center"/>
        </w:trPr>
        <w:tc>
          <w:tcPr>
            <w:tcW w:w="2658" w:type="dxa"/>
            <w:gridSpan w:val="2"/>
            <w:vMerge w:val="restart"/>
            <w:tcBorders>
              <w:top w:val="single" w:sz="4" w:space="0" w:color="auto"/>
              <w:left w:val="nil"/>
              <w:right w:val="nil"/>
            </w:tcBorders>
            <w:shd w:val="clear" w:color="auto" w:fill="auto"/>
            <w:vAlign w:val="center"/>
            <w:hideMark/>
          </w:tcPr>
          <w:p w:rsidR="00E41334" w:rsidRPr="00F9310F" w:rsidRDefault="00E41334" w:rsidP="001709B8">
            <w:pPr>
              <w:pStyle w:val="Tblzat"/>
            </w:pPr>
            <w:r w:rsidRPr="00F9310F">
              <w:t>Predictors</w:t>
            </w:r>
          </w:p>
        </w:tc>
        <w:tc>
          <w:tcPr>
            <w:tcW w:w="1477" w:type="dxa"/>
            <w:gridSpan w:val="2"/>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10 to 26</w:t>
            </w:r>
          </w:p>
          <w:p w:rsidR="00E41334" w:rsidRPr="00F9310F" w:rsidRDefault="00E41334" w:rsidP="001709B8">
            <w:pPr>
              <w:pStyle w:val="Tblzat"/>
              <w:jc w:val="center"/>
            </w:pPr>
            <w:r w:rsidRPr="00F9310F">
              <w:t>months</w:t>
            </w:r>
          </w:p>
        </w:tc>
        <w:tc>
          <w:tcPr>
            <w:tcW w:w="99" w:type="dxa"/>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p>
        </w:tc>
        <w:tc>
          <w:tcPr>
            <w:tcW w:w="1614" w:type="dxa"/>
            <w:gridSpan w:val="5"/>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21 to 37</w:t>
            </w:r>
          </w:p>
          <w:p w:rsidR="00E41334" w:rsidRPr="00F9310F" w:rsidRDefault="00E41334" w:rsidP="001709B8">
            <w:pPr>
              <w:pStyle w:val="Tblzat"/>
              <w:jc w:val="center"/>
            </w:pPr>
            <w:r w:rsidRPr="00F9310F">
              <w:t>months</w:t>
            </w:r>
          </w:p>
        </w:tc>
        <w:tc>
          <w:tcPr>
            <w:tcW w:w="63" w:type="dxa"/>
            <w:gridSpan w:val="2"/>
            <w:tcBorders>
              <w:top w:val="single" w:sz="4" w:space="0" w:color="auto"/>
              <w:left w:val="nil"/>
              <w:bottom w:val="nil"/>
              <w:right w:val="nil"/>
            </w:tcBorders>
            <w:shd w:val="clear" w:color="auto" w:fill="auto"/>
            <w:vAlign w:val="center"/>
            <w:hideMark/>
          </w:tcPr>
          <w:p w:rsidR="00E41334" w:rsidRPr="00F9310F" w:rsidRDefault="00E41334" w:rsidP="001709B8">
            <w:pPr>
              <w:pStyle w:val="Tblzat"/>
              <w:jc w:val="center"/>
            </w:pPr>
          </w:p>
        </w:tc>
        <w:tc>
          <w:tcPr>
            <w:tcW w:w="1613" w:type="dxa"/>
            <w:gridSpan w:val="3"/>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37 to 53</w:t>
            </w:r>
          </w:p>
          <w:p w:rsidR="00E41334" w:rsidRPr="00F9310F" w:rsidRDefault="00E41334" w:rsidP="001709B8">
            <w:pPr>
              <w:pStyle w:val="Tblzat"/>
              <w:jc w:val="center"/>
            </w:pPr>
            <w:r w:rsidRPr="00F9310F">
              <w:t>months</w:t>
            </w:r>
          </w:p>
        </w:tc>
        <w:tc>
          <w:tcPr>
            <w:tcW w:w="99" w:type="dxa"/>
            <w:gridSpan w:val="2"/>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p>
        </w:tc>
        <w:tc>
          <w:tcPr>
            <w:tcW w:w="1449" w:type="dxa"/>
            <w:gridSpan w:val="2"/>
            <w:tcBorders>
              <w:top w:val="single" w:sz="4" w:space="0" w:color="auto"/>
              <w:left w:val="nil"/>
              <w:bottom w:val="nil"/>
              <w:right w:val="nil"/>
            </w:tcBorders>
            <w:shd w:val="clear" w:color="auto" w:fill="auto"/>
            <w:noWrap/>
            <w:vAlign w:val="center"/>
            <w:hideMark/>
          </w:tcPr>
          <w:p w:rsidR="00E41334" w:rsidRPr="00F9310F" w:rsidRDefault="00E41334" w:rsidP="001709B8">
            <w:pPr>
              <w:pStyle w:val="Tblzat"/>
              <w:jc w:val="center"/>
            </w:pPr>
            <w:r w:rsidRPr="00F9310F">
              <w:t>10 to 53 months</w:t>
            </w:r>
          </w:p>
        </w:tc>
      </w:tr>
      <w:tr w:rsidR="00E41334" w:rsidRPr="00F9310F" w:rsidTr="001709B8">
        <w:trPr>
          <w:trHeight w:val="113"/>
          <w:jc w:val="center"/>
        </w:trPr>
        <w:tc>
          <w:tcPr>
            <w:tcW w:w="2658" w:type="dxa"/>
            <w:gridSpan w:val="2"/>
            <w:vMerge/>
            <w:tcBorders>
              <w:left w:val="nil"/>
              <w:right w:val="nil"/>
            </w:tcBorders>
            <w:shd w:val="clear" w:color="auto" w:fill="auto"/>
            <w:vAlign w:val="center"/>
            <w:hideMark/>
          </w:tcPr>
          <w:p w:rsidR="00E41334" w:rsidRPr="00F9310F" w:rsidRDefault="00E41334" w:rsidP="001709B8">
            <w:pPr>
              <w:pStyle w:val="Tblzat"/>
            </w:pPr>
          </w:p>
        </w:tc>
        <w:tc>
          <w:tcPr>
            <w:tcW w:w="1477" w:type="dxa"/>
            <w:gridSpan w:val="2"/>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53)</w:t>
            </w: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1614" w:type="dxa"/>
            <w:gridSpan w:val="5"/>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43)</w:t>
            </w: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1613" w:type="dxa"/>
            <w:gridSpan w:val="3"/>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40)</w:t>
            </w: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1449" w:type="dxa"/>
            <w:gridSpan w:val="2"/>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(N = 40)</w:t>
            </w:r>
          </w:p>
        </w:tc>
      </w:tr>
      <w:tr w:rsidR="00E41334" w:rsidRPr="00F9310F" w:rsidTr="001709B8">
        <w:trPr>
          <w:trHeight w:val="113"/>
          <w:jc w:val="center"/>
        </w:trPr>
        <w:tc>
          <w:tcPr>
            <w:tcW w:w="0" w:type="auto"/>
            <w:gridSpan w:val="2"/>
            <w:vMerge/>
            <w:tcBorders>
              <w:left w:val="nil"/>
              <w:bottom w:val="single" w:sz="8" w:space="0" w:color="auto"/>
              <w:right w:val="nil"/>
            </w:tcBorders>
            <w:shd w:val="clear" w:color="auto" w:fill="auto"/>
            <w:vAlign w:val="bottom"/>
            <w:hideMark/>
          </w:tcPr>
          <w:p w:rsidR="00E41334" w:rsidRPr="00F9310F" w:rsidRDefault="00E41334" w:rsidP="001709B8">
            <w:pPr>
              <w:pStyle w:val="Tblzat"/>
            </w:pPr>
          </w:p>
        </w:tc>
        <w:tc>
          <w:tcPr>
            <w:tcW w:w="789"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β</w:t>
            </w:r>
          </w:p>
        </w:tc>
        <w:tc>
          <w:tcPr>
            <w:tcW w:w="688"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556EBE">
              <w:rPr>
                <w:rFonts w:ascii="Cambria Math" w:hAnsi="Cambria Math" w:cs="Cambria Math"/>
              </w:rPr>
              <w:t>△</w:t>
            </w:r>
            <w:r w:rsidRPr="00F9310F">
              <w:t>R</w:t>
            </w:r>
            <w:r w:rsidRPr="00F9310F">
              <w:rPr>
                <w:vertAlign w:val="superscript"/>
              </w:rPr>
              <w:t>2</w:t>
            </w:r>
          </w:p>
        </w:tc>
        <w:tc>
          <w:tcPr>
            <w:tcW w:w="99"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β</w:t>
            </w:r>
          </w:p>
        </w:tc>
        <w:tc>
          <w:tcPr>
            <w:tcW w:w="840" w:type="dxa"/>
            <w:gridSpan w:val="4"/>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556EBE">
              <w:rPr>
                <w:rFonts w:ascii="Cambria Math" w:eastAsia="MingLiU" w:hAnsi="Cambria Math" w:cs="Cambria Math"/>
              </w:rPr>
              <w:t>△</w:t>
            </w:r>
            <w:r w:rsidRPr="00F9310F">
              <w:t>R</w:t>
            </w:r>
            <w:r w:rsidRPr="00F9310F">
              <w:rPr>
                <w:vertAlign w:val="superscript"/>
              </w:rPr>
              <w:t>2</w:t>
            </w:r>
          </w:p>
        </w:tc>
        <w:tc>
          <w:tcPr>
            <w:tcW w:w="63" w:type="dxa"/>
            <w:gridSpan w:val="2"/>
            <w:tcBorders>
              <w:top w:val="nil"/>
              <w:left w:val="nil"/>
              <w:bottom w:val="single" w:sz="8" w:space="0" w:color="auto"/>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β</w:t>
            </w:r>
          </w:p>
        </w:tc>
        <w:tc>
          <w:tcPr>
            <w:tcW w:w="720" w:type="dxa"/>
            <w:gridSpan w:val="2"/>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556EBE">
              <w:rPr>
                <w:rFonts w:ascii="Cambria Math" w:eastAsia="MingLiU" w:hAnsi="Cambria Math" w:cs="Cambria Math"/>
              </w:rPr>
              <w:t>△</w:t>
            </w:r>
            <w:r w:rsidRPr="00F9310F">
              <w:t>R</w:t>
            </w:r>
            <w:r w:rsidRPr="00F9310F">
              <w:rPr>
                <w:vertAlign w:val="superscript"/>
              </w:rPr>
              <w:t>2</w:t>
            </w:r>
          </w:p>
        </w:tc>
        <w:tc>
          <w:tcPr>
            <w:tcW w:w="99" w:type="dxa"/>
            <w:gridSpan w:val="2"/>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F9310F">
              <w:t>β</w:t>
            </w:r>
          </w:p>
        </w:tc>
        <w:tc>
          <w:tcPr>
            <w:tcW w:w="611" w:type="dxa"/>
            <w:tcBorders>
              <w:top w:val="nil"/>
              <w:left w:val="nil"/>
              <w:bottom w:val="single" w:sz="8" w:space="0" w:color="auto"/>
              <w:right w:val="nil"/>
            </w:tcBorders>
            <w:shd w:val="clear" w:color="auto" w:fill="auto"/>
            <w:noWrap/>
            <w:vAlign w:val="center"/>
            <w:hideMark/>
          </w:tcPr>
          <w:p w:rsidR="00E41334" w:rsidRPr="00F9310F" w:rsidRDefault="00E41334" w:rsidP="001709B8">
            <w:pPr>
              <w:pStyle w:val="Tblzat"/>
              <w:jc w:val="center"/>
            </w:pPr>
            <w:r w:rsidRPr="00556EBE">
              <w:rPr>
                <w:rFonts w:ascii="Cambria Math" w:eastAsia="MingLiU" w:hAnsi="Cambria Math" w:cs="Cambria Math"/>
              </w:rPr>
              <w:t>△</w:t>
            </w:r>
            <w:r w:rsidRPr="00F9310F">
              <w:t>R</w:t>
            </w:r>
            <w:r w:rsidRPr="00F9310F">
              <w:rPr>
                <w:vertAlign w:val="superscript"/>
              </w:rPr>
              <w:t>2</w:t>
            </w:r>
          </w:p>
        </w:tc>
      </w:tr>
      <w:tr w:rsidR="00E41334" w:rsidRPr="00F9310F" w:rsidTr="001709B8">
        <w:trPr>
          <w:trHeight w:val="113"/>
          <w:jc w:val="center"/>
        </w:trPr>
        <w:tc>
          <w:tcPr>
            <w:tcW w:w="0" w:type="auto"/>
            <w:gridSpan w:val="2"/>
            <w:tcBorders>
              <w:top w:val="nil"/>
              <w:left w:val="nil"/>
              <w:bottom w:val="nil"/>
              <w:right w:val="nil"/>
            </w:tcBorders>
            <w:shd w:val="clear" w:color="auto" w:fill="auto"/>
            <w:vAlign w:val="center"/>
            <w:hideMark/>
          </w:tcPr>
          <w:p w:rsidR="00E41334" w:rsidRPr="00F9310F" w:rsidRDefault="00E41334" w:rsidP="001709B8">
            <w:pPr>
              <w:pStyle w:val="Tblzat"/>
            </w:pPr>
            <w:r w:rsidRPr="00F9310F">
              <w:t>Step 1</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.33***</w:t>
            </w: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.16</w:t>
            </w:r>
            <w:r w:rsidRPr="00F9310F">
              <w:rPr>
                <w:vertAlign w:val="superscript"/>
              </w:rPr>
              <w:t>†</w:t>
            </w: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.33**</w:t>
            </w: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.24*</w:t>
            </w: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rPr>
                <w:rFonts w:eastAsia="PMingLiU"/>
                <w:lang w:eastAsia="zh-TW"/>
              </w:rPr>
            </w:pPr>
            <w:r w:rsidRPr="00F9310F">
              <w:t>Child's gender</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0.12</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0.09</w:t>
            </w: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0.00</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0.41*</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Mother's educational level</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0.16</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0.11</w:t>
            </w:r>
          </w:p>
        </w:tc>
        <w:tc>
          <w:tcPr>
            <w:tcW w:w="795" w:type="dxa"/>
            <w:gridSpan w:val="3"/>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108" w:type="dxa"/>
            <w:gridSpan w:val="3"/>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-0.14</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0.07</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General competence</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0.50***</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0.38*</w:t>
            </w: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0.57***</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0.15</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vAlign w:val="center"/>
            <w:hideMark/>
          </w:tcPr>
          <w:p w:rsidR="00E41334" w:rsidRPr="00F9310F" w:rsidRDefault="00E41334" w:rsidP="001709B8">
            <w:pPr>
              <w:pStyle w:val="Tblzat"/>
            </w:pPr>
            <w:r w:rsidRPr="00F9310F">
              <w:t>Step 2</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.22***</w:t>
            </w: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.09</w:t>
            </w: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.09</w:t>
            </w: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.17*</w:t>
            </w: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Child's gender</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0.13</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0.06</w:t>
            </w: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0.00</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0.43**</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Mother's educational level</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0.13</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0.11</w:t>
            </w:r>
          </w:p>
        </w:tc>
        <w:tc>
          <w:tcPr>
            <w:tcW w:w="765"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138" w:type="dxa"/>
            <w:gridSpan w:val="5"/>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-0.20</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0.10</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General competence</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0.23</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0.14</w:t>
            </w: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0.24</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0.09</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nil"/>
              <w:right w:val="nil"/>
            </w:tcBorders>
            <w:shd w:val="clear" w:color="auto" w:fill="auto"/>
            <w:noWrap/>
            <w:vAlign w:val="center"/>
            <w:hideMark/>
          </w:tcPr>
          <w:p w:rsidR="00E41334" w:rsidRPr="00F9310F" w:rsidRDefault="00E41334" w:rsidP="001709B8">
            <w:pPr>
              <w:pStyle w:val="Tblzat"/>
            </w:pPr>
            <w:r w:rsidRPr="00F9310F">
              <w:t>Total persistence</w:t>
            </w:r>
          </w:p>
        </w:tc>
        <w:tc>
          <w:tcPr>
            <w:tcW w:w="78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0.63***</w:t>
            </w:r>
          </w:p>
        </w:tc>
        <w:tc>
          <w:tcPr>
            <w:tcW w:w="68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0.43*</w:t>
            </w:r>
          </w:p>
        </w:tc>
        <w:tc>
          <w:tcPr>
            <w:tcW w:w="840" w:type="dxa"/>
            <w:gridSpan w:val="4"/>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nil"/>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0.54*</w:t>
            </w:r>
          </w:p>
        </w:tc>
        <w:tc>
          <w:tcPr>
            <w:tcW w:w="720"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r w:rsidRPr="00F9310F">
              <w:t>0.35</w:t>
            </w:r>
            <w:r w:rsidRPr="00F9310F">
              <w:rPr>
                <w:vertAlign w:val="superscript"/>
              </w:rPr>
              <w:t>†</w:t>
            </w:r>
          </w:p>
        </w:tc>
        <w:tc>
          <w:tcPr>
            <w:tcW w:w="611" w:type="dxa"/>
            <w:tcBorders>
              <w:top w:val="nil"/>
              <w:left w:val="nil"/>
              <w:bottom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2643" w:type="dxa"/>
            <w:tcBorders>
              <w:top w:val="nil"/>
              <w:left w:val="nil"/>
              <w:right w:val="nil"/>
            </w:tcBorders>
            <w:shd w:val="clear" w:color="auto" w:fill="auto"/>
            <w:noWrap/>
            <w:vAlign w:val="center"/>
            <w:hideMark/>
          </w:tcPr>
          <w:p w:rsidR="00E41334" w:rsidRPr="00F9310F" w:rsidRDefault="00E41334" w:rsidP="001709B8">
            <w:pPr>
              <w:pStyle w:val="Tblzat"/>
            </w:pPr>
            <w:r w:rsidRPr="00F9310F">
              <w:t>Mastery pleasure</w:t>
            </w:r>
          </w:p>
        </w:tc>
        <w:tc>
          <w:tcPr>
            <w:tcW w:w="804" w:type="dxa"/>
            <w:gridSpan w:val="2"/>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-0.33**</w:t>
            </w:r>
          </w:p>
        </w:tc>
        <w:tc>
          <w:tcPr>
            <w:tcW w:w="688" w:type="dxa"/>
            <w:tcBorders>
              <w:top w:val="nil"/>
              <w:left w:val="nil"/>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-0.07</w:t>
            </w:r>
          </w:p>
        </w:tc>
        <w:tc>
          <w:tcPr>
            <w:tcW w:w="780" w:type="dxa"/>
            <w:gridSpan w:val="2"/>
            <w:tcBorders>
              <w:top w:val="nil"/>
              <w:left w:val="nil"/>
              <w:right w:val="nil"/>
            </w:tcBorders>
            <w:shd w:val="clear" w:color="auto" w:fill="auto"/>
            <w:noWrap/>
            <w:vAlign w:val="center"/>
            <w:hideMark/>
          </w:tcPr>
          <w:p w:rsidR="00E41334" w:rsidRPr="00F9310F" w:rsidRDefault="00E41334" w:rsidP="001709B8">
            <w:pPr>
              <w:pStyle w:val="Tblzat"/>
              <w:jc w:val="center"/>
            </w:pPr>
          </w:p>
        </w:tc>
        <w:tc>
          <w:tcPr>
            <w:tcW w:w="76" w:type="dxa"/>
            <w:gridSpan w:val="3"/>
            <w:tcBorders>
              <w:top w:val="nil"/>
              <w:left w:val="nil"/>
              <w:right w:val="nil"/>
            </w:tcBorders>
            <w:shd w:val="clear" w:color="auto" w:fill="auto"/>
            <w:vAlign w:val="center"/>
            <w:hideMark/>
          </w:tcPr>
          <w:p w:rsidR="00E41334" w:rsidRPr="00F9310F" w:rsidRDefault="00E41334" w:rsidP="001709B8">
            <w:pPr>
              <w:pStyle w:val="Tblzat"/>
              <w:jc w:val="center"/>
            </w:pPr>
          </w:p>
        </w:tc>
        <w:tc>
          <w:tcPr>
            <w:tcW w:w="940" w:type="dxa"/>
            <w:gridSpan w:val="2"/>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-0.19</w:t>
            </w:r>
          </w:p>
        </w:tc>
        <w:tc>
          <w:tcPr>
            <w:tcW w:w="705" w:type="dxa"/>
            <w:tcBorders>
              <w:top w:val="nil"/>
              <w:left w:val="nil"/>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right w:val="nil"/>
            </w:tcBorders>
            <w:shd w:val="clear" w:color="auto" w:fill="auto"/>
            <w:noWrap/>
            <w:vAlign w:val="center"/>
            <w:hideMark/>
          </w:tcPr>
          <w:p w:rsidR="00E41334" w:rsidRPr="00F9310F" w:rsidRDefault="00E41334" w:rsidP="001709B8">
            <w:pPr>
              <w:pStyle w:val="Tblzat"/>
              <w:jc w:val="center"/>
            </w:pPr>
          </w:p>
        </w:tc>
        <w:tc>
          <w:tcPr>
            <w:tcW w:w="853" w:type="dxa"/>
            <w:gridSpan w:val="2"/>
            <w:tcBorders>
              <w:top w:val="nil"/>
              <w:left w:val="nil"/>
              <w:right w:val="nil"/>
            </w:tcBorders>
            <w:shd w:val="clear" w:color="auto" w:fill="auto"/>
            <w:noWrap/>
            <w:vAlign w:val="center"/>
            <w:hideMark/>
          </w:tcPr>
          <w:p w:rsidR="00E41334" w:rsidRPr="00F9310F" w:rsidRDefault="00E41334" w:rsidP="001709B8">
            <w:pPr>
              <w:pStyle w:val="Tblzat"/>
              <w:jc w:val="center"/>
            </w:pPr>
            <w:r w:rsidRPr="00F9310F">
              <w:t>-0.42*</w:t>
            </w:r>
          </w:p>
        </w:tc>
        <w:tc>
          <w:tcPr>
            <w:tcW w:w="611" w:type="dxa"/>
            <w:tcBorders>
              <w:top w:val="nil"/>
              <w:left w:val="nil"/>
              <w:right w:val="nil"/>
            </w:tcBorders>
            <w:shd w:val="clear" w:color="auto" w:fill="auto"/>
            <w:noWrap/>
            <w:vAlign w:val="center"/>
            <w:hideMark/>
          </w:tcPr>
          <w:p w:rsidR="00E41334" w:rsidRPr="00F9310F" w:rsidRDefault="00E41334" w:rsidP="001709B8">
            <w:pPr>
              <w:pStyle w:val="Tblzat"/>
              <w:jc w:val="center"/>
            </w:pPr>
          </w:p>
        </w:tc>
      </w:tr>
      <w:tr w:rsidR="00E41334" w:rsidRPr="00F9310F" w:rsidTr="001709B8">
        <w:trPr>
          <w:trHeight w:val="113"/>
          <w:jc w:val="center"/>
        </w:trPr>
        <w:tc>
          <w:tcPr>
            <w:tcW w:w="0" w:type="auto"/>
            <w:gridSpan w:val="2"/>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pPr>
            <w:r w:rsidRPr="00F9310F">
              <w:t xml:space="preserve"> Negative reactions to</w:t>
            </w:r>
            <w:r w:rsidRPr="00F9310F">
              <w:br/>
              <w:t xml:space="preserve">  </w:t>
            </w:r>
            <w:r w:rsidRPr="00F9310F">
              <w:rPr>
                <w:rFonts w:eastAsia="PMingLiU" w:hint="eastAsia"/>
                <w:lang w:eastAsia="zh-TW"/>
              </w:rPr>
              <w:t xml:space="preserve">  </w:t>
            </w:r>
            <w:r w:rsidRPr="00F9310F">
              <w:t>failure</w:t>
            </w:r>
          </w:p>
        </w:tc>
        <w:tc>
          <w:tcPr>
            <w:tcW w:w="789"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0.04</w:t>
            </w:r>
          </w:p>
        </w:tc>
        <w:tc>
          <w:tcPr>
            <w:tcW w:w="688"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c>
          <w:tcPr>
            <w:tcW w:w="99"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c>
          <w:tcPr>
            <w:tcW w:w="774"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-0.02</w:t>
            </w:r>
          </w:p>
        </w:tc>
        <w:tc>
          <w:tcPr>
            <w:tcW w:w="840" w:type="dxa"/>
            <w:gridSpan w:val="4"/>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c>
          <w:tcPr>
            <w:tcW w:w="63" w:type="dxa"/>
            <w:gridSpan w:val="2"/>
            <w:tcBorders>
              <w:top w:val="nil"/>
              <w:left w:val="nil"/>
              <w:bottom w:val="single" w:sz="4" w:space="0" w:color="auto"/>
              <w:right w:val="nil"/>
            </w:tcBorders>
            <w:shd w:val="clear" w:color="auto" w:fill="auto"/>
            <w:vAlign w:val="center"/>
            <w:hideMark/>
          </w:tcPr>
          <w:p w:rsidR="00E41334" w:rsidRPr="00F9310F" w:rsidRDefault="00E41334" w:rsidP="001709B8">
            <w:pPr>
              <w:pStyle w:val="Tblzat"/>
              <w:jc w:val="center"/>
            </w:pPr>
          </w:p>
        </w:tc>
        <w:tc>
          <w:tcPr>
            <w:tcW w:w="893"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0.01</w:t>
            </w:r>
          </w:p>
        </w:tc>
        <w:tc>
          <w:tcPr>
            <w:tcW w:w="720" w:type="dxa"/>
            <w:gridSpan w:val="2"/>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c>
          <w:tcPr>
            <w:tcW w:w="99" w:type="dxa"/>
            <w:gridSpan w:val="2"/>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c>
          <w:tcPr>
            <w:tcW w:w="838"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r w:rsidRPr="00F9310F">
              <w:t>0.14</w:t>
            </w:r>
          </w:p>
        </w:tc>
        <w:tc>
          <w:tcPr>
            <w:tcW w:w="611" w:type="dxa"/>
            <w:tcBorders>
              <w:top w:val="nil"/>
              <w:left w:val="nil"/>
              <w:bottom w:val="single" w:sz="4" w:space="0" w:color="auto"/>
              <w:right w:val="nil"/>
            </w:tcBorders>
            <w:shd w:val="clear" w:color="auto" w:fill="auto"/>
            <w:noWrap/>
            <w:vAlign w:val="center"/>
            <w:hideMark/>
          </w:tcPr>
          <w:p w:rsidR="00E41334" w:rsidRPr="00F9310F" w:rsidRDefault="00E41334" w:rsidP="001709B8">
            <w:pPr>
              <w:pStyle w:val="Tblzat"/>
              <w:jc w:val="center"/>
            </w:pPr>
          </w:p>
        </w:tc>
      </w:tr>
    </w:tbl>
    <w:p w:rsidR="00E41334" w:rsidRPr="00151579" w:rsidRDefault="00E41334" w:rsidP="00E41334">
      <w:pPr>
        <w:pStyle w:val="Kpalrs"/>
        <w:spacing w:after="0"/>
        <w:rPr>
          <w:lang w:eastAsia="zh-TW"/>
        </w:rPr>
      </w:pPr>
      <w:r w:rsidRPr="00556EBE">
        <w:t xml:space="preserve">Note. </w:t>
      </w:r>
      <w:r w:rsidRPr="00151579">
        <w:rPr>
          <w:rFonts w:hint="eastAsia"/>
          <w:lang w:eastAsia="zh-TW"/>
        </w:rPr>
        <w:t xml:space="preserve">For the categorical predictor variable of gender, male was 1 and female was coded as 2. </w:t>
      </w:r>
    </w:p>
    <w:p w:rsidR="00E41334" w:rsidRPr="00556EBE" w:rsidRDefault="00E41334" w:rsidP="00E41334">
      <w:pPr>
        <w:pStyle w:val="Kpalrs"/>
        <w:rPr>
          <w:lang w:eastAsia="zh-TW"/>
        </w:rPr>
      </w:pPr>
      <w:r w:rsidRPr="00556EBE">
        <w:rPr>
          <w:vertAlign w:val="superscript"/>
        </w:rPr>
        <w:t>†</w:t>
      </w:r>
      <w:r w:rsidRPr="00556EBE">
        <w:t>p &lt; .08. *p &lt; .05. **p &lt; .01. ***p &lt; .001.</w:t>
      </w:r>
    </w:p>
    <w:p w:rsidR="00E41334" w:rsidRPr="00556EBE" w:rsidRDefault="00E41334" w:rsidP="00E41334">
      <w:pPr>
        <w:pStyle w:val="Sectiontitle"/>
      </w:pPr>
      <w:r w:rsidRPr="00FE1239">
        <w:t>Discussion</w:t>
      </w:r>
    </w:p>
    <w:p w:rsidR="00E41334" w:rsidRPr="00556EBE" w:rsidRDefault="00E41334" w:rsidP="00E41334">
      <w:pPr>
        <w:pStyle w:val="Text"/>
      </w:pPr>
      <w:r w:rsidRPr="00556EBE">
        <w:t>The present study investigated the stability of mastery motivation early in life and its association with general competence. By using</w:t>
      </w:r>
      <w:r w:rsidRPr="00556EBE">
        <w:rPr>
          <w:rFonts w:eastAsia="PMingLiU"/>
          <w:lang w:eastAsia="zh-TW"/>
        </w:rPr>
        <w:t xml:space="preserve"> a</w:t>
      </w:r>
      <w:r w:rsidRPr="00556EBE">
        <w:t xml:space="preserve"> multiple-wave longitudinal design </w:t>
      </w:r>
      <w:r w:rsidRPr="00556EBE">
        <w:rPr>
          <w:rFonts w:eastAsia="PMingLiU"/>
          <w:lang w:eastAsia="zh-TW"/>
        </w:rPr>
        <w:t xml:space="preserve">with </w:t>
      </w:r>
      <w:r w:rsidRPr="00556EBE">
        <w:t>the same range of</w:t>
      </w:r>
      <w:r w:rsidRPr="00556EBE">
        <w:rPr>
          <w:rFonts w:eastAsia="PMingLiU"/>
          <w:lang w:eastAsia="zh-TW"/>
        </w:rPr>
        <w:t xml:space="preserve"> age</w:t>
      </w:r>
      <w:r w:rsidRPr="00556EBE">
        <w:t xml:space="preserve"> interval</w:t>
      </w:r>
      <w:r w:rsidRPr="00556EBE">
        <w:rPr>
          <w:rFonts w:eastAsia="PMingLiU"/>
          <w:lang w:eastAsia="zh-TW"/>
        </w:rPr>
        <w:t>s</w:t>
      </w:r>
      <w:r w:rsidRPr="00556EBE">
        <w:t xml:space="preserve">, this study extended the findings from previous studies to demonstrate the variation of stability and predictability of multiple domains of mastery motivation in different periods of infancy and early childhood. </w:t>
      </w:r>
    </w:p>
    <w:p w:rsidR="00E41334" w:rsidRPr="00556EBE" w:rsidRDefault="00E41334" w:rsidP="00E41334">
      <w:pPr>
        <w:pStyle w:val="Text"/>
      </w:pPr>
      <w:r w:rsidRPr="00556EBE">
        <w:lastRenderedPageBreak/>
        <w:t xml:space="preserve">The present analysis of stability partially concurred with prior research (Maslin-Cole et al., 1993; Wang et al., 2011). That is, </w:t>
      </w:r>
      <w:r w:rsidRPr="00151579">
        <w:rPr>
          <w:rFonts w:eastAsia="PMingLiU" w:hint="eastAsia"/>
          <w:lang w:eastAsia="zh-TW"/>
        </w:rPr>
        <w:t xml:space="preserve">especially </w:t>
      </w:r>
      <w:r w:rsidRPr="00556EBE">
        <w:t>compared with the social domains and the expressive aspect</w:t>
      </w:r>
      <w:r w:rsidRPr="000F5372">
        <w:rPr>
          <w:rFonts w:eastAsia="PMingLiU" w:hint="eastAsia"/>
          <w:lang w:eastAsia="zh-TW"/>
        </w:rPr>
        <w:t>s</w:t>
      </w:r>
      <w:r w:rsidRPr="00556EBE">
        <w:t xml:space="preserve"> of mastery motivation, persistence in object-oriented and gross motor domains were stable in early childhood. Specifically, throughout the five waves of assessment, moderate to high stability</w:t>
      </w:r>
      <w:r w:rsidRPr="00556EBE" w:rsidDel="00943245">
        <w:t xml:space="preserve"> </w:t>
      </w:r>
      <w:r w:rsidRPr="00556EBE">
        <w:t>and moderate stability were found in the persistence of the cognitive/object-oriented domain and in the physical/gross-motor domain, respectively.</w:t>
      </w:r>
      <w:r w:rsidRPr="00556EBE" w:rsidDel="00EF7A62">
        <w:t xml:space="preserve"> </w:t>
      </w:r>
      <w:r w:rsidRPr="00556EBE">
        <w:t>In contrast, the domains of social persistence showed moderate stability up to age three but low stability beyond 3 years of age. Age 3 is the end point of the third age range of the development of mastery motivation suggested by Barrett and Morgan (1995). It is also about the time for most young children to start going to preschool, meeting new teachers and peers, and facing all kinds of novelty in new environments. Consequently, it seems not surprising that children’s motivation to manage social interaction with adults and peers changes, which may, in turn, affect individuals’ ranking of social persistence compared to other individuals.</w:t>
      </w:r>
    </w:p>
    <w:p w:rsidR="00E41334" w:rsidRPr="00556EBE" w:rsidRDefault="00E41334" w:rsidP="00E41334">
      <w:pPr>
        <w:pStyle w:val="Text"/>
      </w:pPr>
      <w:r w:rsidRPr="00556EBE">
        <w:t>For the findings of stability in the expressive aspect, contrary to Maslin-Cole et al. (1993) where mastery pleasure demonstrated higher stability than negative reactions to failure, in this study, the domain of negative reactions to failure remained mildly to moderately stable throughout the three sets of 16-month interval</w:t>
      </w:r>
      <w:r w:rsidRPr="00556EBE">
        <w:rPr>
          <w:rFonts w:eastAsia="PMingLiU"/>
          <w:lang w:eastAsia="zh-TW"/>
        </w:rPr>
        <w:t>s</w:t>
      </w:r>
      <w:r w:rsidRPr="00556EBE">
        <w:t>. Negative reactions to failure can be attributed to child temperament (e.g., the subscale of frustration in the Early Childhood Behavior Questionnaire; Putnam, Gartstein, &amp; Rothbart, 2006) as well as parental standards, both of which may not be easily changeable in a short period of time and lead to the stability of this expressive domain.</w:t>
      </w:r>
    </w:p>
    <w:p w:rsidR="00E41334" w:rsidRPr="00556EBE" w:rsidRDefault="00E41334" w:rsidP="00E41334">
      <w:pPr>
        <w:pStyle w:val="Text"/>
      </w:pPr>
      <w:r w:rsidRPr="00556EBE">
        <w:t>Modest or no stability in mastery pleasure across the three 16-month intervals found in this study is in conflict with Wang et al. (2011) where mastery pleasure was significantly stable between 24 to 36 months of age. On the contrary, the long-term stability of mastery pleasure was surprisingly significant from age 10 months to 53 months in this study. The last half of the second year has been suggested as a turning point of mastery pleasure (Kagan, 1992). The fact that the cross-wave (e.g., 10 and 26 months; 21 and 37 months) correlations of mastery pleasure cutting across the age suggested by Kagan were low may indicate that the construct of mastery pleasure is heterotypic with development. Subsequently, the expression of mastery pleasure during early childhood may need to be captured by a more sensitive assessment tool with enough breadth of descriptions including both pure expression of happiness from accomplishment to sense of pride and superiority (Lewis, Alessandri, &amp; Sullivan, 1992).</w:t>
      </w:r>
    </w:p>
    <w:p w:rsidR="00E41334" w:rsidRPr="00556EBE" w:rsidRDefault="00E41334" w:rsidP="00E41334">
      <w:pPr>
        <w:pStyle w:val="Text"/>
      </w:pPr>
      <w:r w:rsidRPr="00556EBE">
        <w:t xml:space="preserve">Curiously, all of the indicators for task persistence and task pleasure, which may be the two most commonly referred markers of mastery motivation, demonstrated long-term stability from age 10 months to 53 months. The 3.5 years between the first and the final wave of the assessment not only stretch over the three early phases of mastery motivation (Barrett &amp; Morgan, 1995) but also comprise major transformations in physical, cognitive, emotional, and social development. Despite sporadic findings of low or non-significant stabilities at some of the 16-month </w:t>
      </w:r>
      <w:r w:rsidRPr="000F5372">
        <w:rPr>
          <w:rFonts w:eastAsia="PMingLiU" w:hint="eastAsia"/>
          <w:lang w:eastAsia="zh-TW"/>
        </w:rPr>
        <w:t xml:space="preserve">intervals </w:t>
      </w:r>
      <w:r w:rsidRPr="00556EBE">
        <w:t xml:space="preserve">of analysis, the existence </w:t>
      </w:r>
      <w:r w:rsidRPr="00556EBE">
        <w:lastRenderedPageBreak/>
        <w:t>of long-term stability points to the value of assessing domain-specific mastery motivation before one year of age and the contribution of early behavioral patterns in the development of mastery motivation (Shiner, 2000).</w:t>
      </w:r>
    </w:p>
    <w:p w:rsidR="00E41334" w:rsidRPr="00151579" w:rsidRDefault="00E41334" w:rsidP="00E41334">
      <w:pPr>
        <w:pStyle w:val="Text"/>
        <w:rPr>
          <w:rFonts w:eastAsia="PMingLiU"/>
          <w:lang w:eastAsia="zh-TW"/>
        </w:rPr>
      </w:pPr>
      <w:r w:rsidRPr="00DA3353">
        <w:t>Regarding</w:t>
      </w:r>
      <w:r w:rsidRPr="00556EBE">
        <w:t xml:space="preserve"> the </w:t>
      </w:r>
      <w:r>
        <w:t>association</w:t>
      </w:r>
      <w:r w:rsidRPr="00556EBE">
        <w:t xml:space="preserve"> between mastery motivation and general competence, concordant with prior research (Gilmore &amp; Cuskelly, 2009; Yarrow et al., 1983), this study indicated task persistence had a stronger connection with later competence than </w:t>
      </w:r>
      <w:r w:rsidRPr="000F5372">
        <w:rPr>
          <w:rFonts w:eastAsia="PMingLiU" w:hint="eastAsia"/>
          <w:lang w:eastAsia="zh-TW"/>
        </w:rPr>
        <w:t xml:space="preserve">did </w:t>
      </w:r>
      <w:r w:rsidRPr="00556EBE">
        <w:t xml:space="preserve">the expressive aspects of mastery motivation. </w:t>
      </w:r>
      <w:r>
        <w:t xml:space="preserve">When considered as a group, the three mastery motivation indexes increased the predictability of competence only in the 10 to 26 and 10 to 53 month intervals. However, </w:t>
      </w:r>
      <w:r w:rsidRPr="00761527">
        <w:t xml:space="preserve">persistence </w:t>
      </w:r>
      <w:r>
        <w:t xml:space="preserve">significantly </w:t>
      </w:r>
      <w:r w:rsidRPr="00761527">
        <w:t>c</w:t>
      </w:r>
      <w:r>
        <w:t>ontributed</w:t>
      </w:r>
      <w:r w:rsidRPr="00761527">
        <w:t xml:space="preserve"> to </w:t>
      </w:r>
      <w:r>
        <w:t>the prediction of</w:t>
      </w:r>
      <w:r w:rsidRPr="00556EBE">
        <w:t xml:space="preserve"> general competence even after controlling for participants’ demographic backgrounds</w:t>
      </w:r>
      <w:r>
        <w:t>, the expressive variables,</w:t>
      </w:r>
      <w:r w:rsidRPr="00556EBE">
        <w:t xml:space="preserve"> and earlier competence. The present results once again imply that tenacious attempts to master the environment lead to proficiency and competence</w:t>
      </w:r>
      <w:r>
        <w:t>, at least across each of the 16-month intervals</w:t>
      </w:r>
      <w:r w:rsidRPr="00556EBE">
        <w:t xml:space="preserve">. </w:t>
      </w:r>
    </w:p>
    <w:p w:rsidR="00E41334" w:rsidRPr="00EA02CE" w:rsidRDefault="00E41334" w:rsidP="00E41334">
      <w:pPr>
        <w:pStyle w:val="Text"/>
        <w:rPr>
          <w:rFonts w:eastAsia="PMingLiU"/>
          <w:lang w:eastAsia="zh-TW"/>
        </w:rPr>
      </w:pPr>
      <w:r w:rsidRPr="00556EBE">
        <w:t xml:space="preserve">Although domains in the expressive aspect did not correlate with later general competence, mastery pleasure negatively predicted later general competence in two </w:t>
      </w:r>
      <w:r w:rsidRPr="00151579">
        <w:rPr>
          <w:rFonts w:eastAsia="PMingLiU" w:hint="eastAsia"/>
          <w:lang w:eastAsia="zh-TW"/>
        </w:rPr>
        <w:t xml:space="preserve">of the four </w:t>
      </w:r>
      <w:r w:rsidRPr="00556EBE">
        <w:t xml:space="preserve">sets of regression analysis. This novel result may be attributed to the collinearity between total persistence and mastery pleasure (same-wave correlations between mastery pleasure and total persistence: </w:t>
      </w:r>
      <w:r w:rsidRPr="00556EBE">
        <w:rPr>
          <w:i/>
        </w:rPr>
        <w:t>r</w:t>
      </w:r>
      <w:r w:rsidRPr="00556EBE">
        <w:t>s = .36 to .59). Alternatively, maybe young children who are easily satisfied with and delighted by current accomplishment would be less ambitious in striving for further success in more advanced and difficult tasks, which is essential for competence improvement.</w:t>
      </w:r>
      <w:r w:rsidRPr="00EA02CE">
        <w:rPr>
          <w:rFonts w:eastAsia="PMingLiU" w:hint="eastAsia"/>
          <w:lang w:eastAsia="zh-TW"/>
        </w:rPr>
        <w:t xml:space="preserve"> </w:t>
      </w:r>
    </w:p>
    <w:p w:rsidR="00E41334" w:rsidRPr="006B7C60" w:rsidRDefault="00E41334" w:rsidP="00E41334">
      <w:pPr>
        <w:pStyle w:val="Text"/>
        <w:rPr>
          <w:rFonts w:eastAsia="PMingLiU"/>
          <w:lang w:eastAsia="zh-TW"/>
        </w:rPr>
      </w:pPr>
      <w:r w:rsidRPr="00761527">
        <w:t xml:space="preserve">In terms of </w:t>
      </w:r>
      <w:r w:rsidRPr="00705D7E">
        <w:t xml:space="preserve">the </w:t>
      </w:r>
      <w:r w:rsidRPr="006B7C60">
        <w:rPr>
          <w:rFonts w:eastAsia="PMingLiU" w:hint="eastAsia"/>
          <w:lang w:eastAsia="zh-TW"/>
        </w:rPr>
        <w:t>cross-interval</w:t>
      </w:r>
      <w:r w:rsidRPr="00705D7E">
        <w:t xml:space="preserve"> </w:t>
      </w:r>
      <w:r>
        <w:t>consistency and variation</w:t>
      </w:r>
      <w:r w:rsidRPr="00761527">
        <w:t xml:space="preserve"> of the predictability of mastery motivation, total persistence remained a strong predictor of general competence across different periods in early childhood</w:t>
      </w:r>
      <w:r>
        <w:t xml:space="preserve"> even when controlling for early competence</w:t>
      </w:r>
      <w:r w:rsidRPr="006B7C60">
        <w:rPr>
          <w:rFonts w:eastAsia="PMingLiU" w:hint="eastAsia"/>
          <w:lang w:eastAsia="zh-TW"/>
        </w:rPr>
        <w:t xml:space="preserve"> and the other mastery motivation indexes</w:t>
      </w:r>
      <w:r w:rsidRPr="00761527">
        <w:t xml:space="preserve">. Additionally, total </w:t>
      </w:r>
      <w:r w:rsidRPr="00761527">
        <w:rPr>
          <w:rFonts w:hint="eastAsia"/>
        </w:rPr>
        <w:t>persistence</w:t>
      </w:r>
      <w:r w:rsidRPr="00761527">
        <w:t xml:space="preserve"> assessed before one year of age still marginally predicted </w:t>
      </w:r>
      <w:r>
        <w:t xml:space="preserve">a </w:t>
      </w:r>
      <w:r w:rsidRPr="00761527">
        <w:t xml:space="preserve">child’s competence at age four and a half years </w:t>
      </w:r>
      <w:r>
        <w:t>when</w:t>
      </w:r>
      <w:r w:rsidRPr="00761527">
        <w:t xml:space="preserve"> </w:t>
      </w:r>
      <w:r w:rsidRPr="006B7C60">
        <w:rPr>
          <w:rFonts w:eastAsia="PMingLiU" w:hint="eastAsia"/>
          <w:lang w:eastAsia="zh-TW"/>
        </w:rPr>
        <w:t>all the other predictor variables</w:t>
      </w:r>
      <w:r w:rsidRPr="00761527">
        <w:t xml:space="preserve"> </w:t>
      </w:r>
      <w:r>
        <w:t>were</w:t>
      </w:r>
      <w:r w:rsidRPr="00761527">
        <w:t xml:space="preserve"> </w:t>
      </w:r>
      <w:r>
        <w:rPr>
          <w:rFonts w:eastAsia="PMingLiU" w:hint="eastAsia"/>
          <w:lang w:eastAsia="zh-TW"/>
        </w:rPr>
        <w:t>accounted for</w:t>
      </w:r>
      <w:r w:rsidRPr="00761527">
        <w:t>.</w:t>
      </w:r>
      <w:r w:rsidRPr="006B7C60">
        <w:rPr>
          <w:rFonts w:eastAsia="PMingLiU" w:hint="eastAsia"/>
          <w:lang w:eastAsia="zh-TW"/>
        </w:rPr>
        <w:t xml:space="preserve">  </w:t>
      </w:r>
      <w:r>
        <w:t>Thus,</w:t>
      </w:r>
      <w:r w:rsidRPr="00556EBE">
        <w:t xml:space="preserve"> this study seemed not in concert with the conclusion from prior studies</w:t>
      </w:r>
      <w:r>
        <w:t xml:space="preserve"> with infants and preschool children</w:t>
      </w:r>
      <w:r w:rsidRPr="00556EBE">
        <w:t xml:space="preserve"> (e.g., Morgan et al., 1995; Redding et al., 1988) that indicated the </w:t>
      </w:r>
      <w:r w:rsidRPr="006B7C60">
        <w:rPr>
          <w:rFonts w:eastAsia="PMingLiU" w:hint="eastAsia"/>
          <w:lang w:eastAsia="zh-TW"/>
        </w:rPr>
        <w:t>association</w:t>
      </w:r>
      <w:r w:rsidRPr="00556EBE">
        <w:t xml:space="preserve"> between mastery motivation and cognitive functioning </w:t>
      </w:r>
      <w:r w:rsidRPr="000F5372">
        <w:rPr>
          <w:rFonts w:eastAsia="PMingLiU" w:hint="eastAsia"/>
          <w:lang w:eastAsia="zh-TW"/>
        </w:rPr>
        <w:t>is</w:t>
      </w:r>
      <w:r w:rsidRPr="00556EBE">
        <w:t xml:space="preserve"> lower as </w:t>
      </w:r>
      <w:r>
        <w:t xml:space="preserve">these </w:t>
      </w:r>
      <w:r w:rsidRPr="00556EBE">
        <w:t>children get older.</w:t>
      </w:r>
      <w:r w:rsidRPr="00151579">
        <w:rPr>
          <w:rFonts w:eastAsia="PMingLiU" w:hint="eastAsia"/>
          <w:lang w:eastAsia="zh-TW"/>
        </w:rPr>
        <w:t xml:space="preserve"> </w:t>
      </w:r>
      <w:r>
        <w:rPr>
          <w:rFonts w:eastAsia="PMingLiU"/>
          <w:lang w:eastAsia="zh-TW"/>
        </w:rPr>
        <w:t>Consistent with the current study</w:t>
      </w:r>
      <w:r>
        <w:t>, Józsa and Molnár (2013) and Morgan et al. (2009) found quite high correlations between persistence and competence measures on the DMQ for school age children</w:t>
      </w:r>
      <w:r w:rsidRPr="00761527">
        <w:t>.</w:t>
      </w:r>
    </w:p>
    <w:p w:rsidR="00E41334" w:rsidRPr="00FD61A7" w:rsidRDefault="00E41334" w:rsidP="00E41334">
      <w:pPr>
        <w:pStyle w:val="Text"/>
      </w:pPr>
      <w:r w:rsidRPr="00FD61A7">
        <w:rPr>
          <w:rFonts w:hint="eastAsia"/>
        </w:rPr>
        <w:t xml:space="preserve">Finally, although the only </w:t>
      </w:r>
      <w:r w:rsidRPr="00FD61A7">
        <w:t xml:space="preserve">significant </w:t>
      </w:r>
      <w:r w:rsidRPr="00FD61A7">
        <w:rPr>
          <w:rFonts w:hint="eastAsia"/>
        </w:rPr>
        <w:t xml:space="preserve">sex </w:t>
      </w:r>
      <w:r w:rsidRPr="00FD61A7">
        <w:t>difference</w:t>
      </w:r>
      <w:r w:rsidRPr="00FD61A7">
        <w:rPr>
          <w:rFonts w:hint="eastAsia"/>
        </w:rPr>
        <w:t xml:space="preserve"> found in this study was</w:t>
      </w:r>
      <w:r w:rsidRPr="00FD61A7">
        <w:t xml:space="preserve"> </w:t>
      </w:r>
      <w:r w:rsidRPr="00FD61A7">
        <w:rPr>
          <w:rFonts w:hint="eastAsia"/>
        </w:rPr>
        <w:t>that girls</w:t>
      </w:r>
      <w:r w:rsidRPr="00FD61A7">
        <w:t xml:space="preserve">’ </w:t>
      </w:r>
      <w:r w:rsidRPr="00FD61A7">
        <w:rPr>
          <w:rFonts w:hint="eastAsia"/>
        </w:rPr>
        <w:t xml:space="preserve">general </w:t>
      </w:r>
      <w:r w:rsidRPr="00FD61A7">
        <w:t>competence</w:t>
      </w:r>
      <w:r w:rsidRPr="00FD61A7">
        <w:rPr>
          <w:rFonts w:hint="eastAsia"/>
        </w:rPr>
        <w:t xml:space="preserve"> at 53 months</w:t>
      </w:r>
      <w:r w:rsidRPr="00FD61A7">
        <w:t xml:space="preserve"> </w:t>
      </w:r>
      <w:r w:rsidRPr="00FD61A7">
        <w:rPr>
          <w:rFonts w:hint="eastAsia"/>
        </w:rPr>
        <w:t>was higher than</w:t>
      </w:r>
      <w:r w:rsidRPr="00FD61A7">
        <w:t xml:space="preserve"> </w:t>
      </w:r>
      <w:r w:rsidRPr="00FD61A7">
        <w:rPr>
          <w:rFonts w:hint="eastAsia"/>
        </w:rPr>
        <w:t xml:space="preserve">that of </w:t>
      </w:r>
      <w:r w:rsidRPr="00FD61A7">
        <w:t>boys</w:t>
      </w:r>
      <w:r w:rsidRPr="00FD61A7">
        <w:rPr>
          <w:rFonts w:hint="eastAsia"/>
        </w:rPr>
        <w:t>, the mean score of girls</w:t>
      </w:r>
      <w:r w:rsidRPr="00FD61A7">
        <w:t>’</w:t>
      </w:r>
      <w:r w:rsidRPr="00FD61A7">
        <w:rPr>
          <w:rFonts w:hint="eastAsia"/>
        </w:rPr>
        <w:t xml:space="preserve"> general competence measured in every wave was </w:t>
      </w:r>
      <w:r>
        <w:t xml:space="preserve">somewhat </w:t>
      </w:r>
      <w:r w:rsidRPr="00FD61A7">
        <w:rPr>
          <w:rFonts w:hint="eastAsia"/>
        </w:rPr>
        <w:t>higher than that of boys. The</w:t>
      </w:r>
      <w:r>
        <w:t>se</w:t>
      </w:r>
      <w:r w:rsidRPr="00FD61A7">
        <w:rPr>
          <w:rFonts w:hint="eastAsia"/>
        </w:rPr>
        <w:t xml:space="preserve"> results, on the one hand, implied that there may be</w:t>
      </w:r>
      <w:r w:rsidRPr="00FD61A7">
        <w:t xml:space="preserve"> a general relation between gender and competence across ages </w:t>
      </w:r>
      <w:r w:rsidRPr="00FD61A7">
        <w:rPr>
          <w:rFonts w:hint="eastAsia"/>
        </w:rPr>
        <w:t xml:space="preserve">in early childhood </w:t>
      </w:r>
      <w:r>
        <w:t xml:space="preserve">of parent’s perceptions </w:t>
      </w:r>
      <w:r w:rsidRPr="00FD61A7">
        <w:rPr>
          <w:rFonts w:hint="eastAsia"/>
        </w:rPr>
        <w:t xml:space="preserve">that favors girls. </w:t>
      </w:r>
      <w:r>
        <w:t>T</w:t>
      </w:r>
      <w:r w:rsidRPr="00FD61A7">
        <w:rPr>
          <w:rFonts w:hint="eastAsia"/>
        </w:rPr>
        <w:t xml:space="preserve">he findings </w:t>
      </w:r>
      <w:r>
        <w:t xml:space="preserve">of the current study </w:t>
      </w:r>
      <w:r w:rsidRPr="00FD61A7">
        <w:rPr>
          <w:rFonts w:hint="eastAsia"/>
        </w:rPr>
        <w:t>were concordant with prior studies (</w:t>
      </w:r>
      <w:r>
        <w:t>Józsa</w:t>
      </w:r>
      <w:r w:rsidRPr="00FD61A7">
        <w:rPr>
          <w:rFonts w:hint="eastAsia"/>
        </w:rPr>
        <w:t xml:space="preserve"> et al.</w:t>
      </w:r>
      <w:r>
        <w:t>,</w:t>
      </w:r>
      <w:r w:rsidRPr="00FD61A7">
        <w:rPr>
          <w:rFonts w:hint="eastAsia"/>
        </w:rPr>
        <w:t xml:space="preserve"> 2014; Morgan et al., 2013) that indicated both Chinese and English speaking </w:t>
      </w:r>
      <w:r w:rsidRPr="00FD61A7">
        <w:rPr>
          <w:rFonts w:hint="eastAsia"/>
        </w:rPr>
        <w:lastRenderedPageBreak/>
        <w:t xml:space="preserve">parents rated girls higher </w:t>
      </w:r>
      <w:r>
        <w:t xml:space="preserve">on DMQ </w:t>
      </w:r>
      <w:r w:rsidRPr="00FD61A7">
        <w:rPr>
          <w:rFonts w:hint="eastAsia"/>
        </w:rPr>
        <w:t>general competence than boys</w:t>
      </w:r>
      <w:r>
        <w:t>,</w:t>
      </w:r>
      <w:r w:rsidRPr="00FD61A7">
        <w:rPr>
          <w:rFonts w:hint="eastAsia"/>
        </w:rPr>
        <w:t xml:space="preserve"> even though the effect sizes of the significant sex differences were generally small.</w:t>
      </w:r>
    </w:p>
    <w:p w:rsidR="00E41334" w:rsidRDefault="00E41334" w:rsidP="00E41334">
      <w:pPr>
        <w:pStyle w:val="Text"/>
      </w:pPr>
      <w:r w:rsidRPr="00556EBE">
        <w:t>In summary, by using</w:t>
      </w:r>
      <w:r w:rsidRPr="000F5372">
        <w:rPr>
          <w:rFonts w:eastAsia="PMingLiU" w:hint="eastAsia"/>
          <w:lang w:eastAsia="zh-TW"/>
        </w:rPr>
        <w:t xml:space="preserve"> an</w:t>
      </w:r>
      <w:r w:rsidRPr="00556EBE">
        <w:t xml:space="preserve"> across-wave, longitudinal design with the same time interval in each set of analyses, the present study was able to compare the stabilities/predictabilities of mastery motivation across the same length of time but at different ages in early childhood. The present results demonstrated that parental perceptions of children’s mastery motivation, especially </w:t>
      </w:r>
      <w:r>
        <w:t>of</w:t>
      </w:r>
      <w:r w:rsidRPr="00556EBE">
        <w:t xml:space="preserve"> </w:t>
      </w:r>
      <w:r>
        <w:t>object and gross motor</w:t>
      </w:r>
      <w:r w:rsidRPr="00556EBE">
        <w:t xml:space="preserve"> persistence, appear</w:t>
      </w:r>
      <w:r w:rsidRPr="003B5039">
        <w:rPr>
          <w:rFonts w:eastAsia="PMingLiU" w:hint="eastAsia"/>
          <w:lang w:eastAsia="zh-TW"/>
        </w:rPr>
        <w:t>ed</w:t>
      </w:r>
      <w:r w:rsidRPr="00556EBE">
        <w:t xml:space="preserve"> to be stable throughout infancy and early childhood. Furthermore, in the domains of negative reactions to failure and mastery pleasure, short-term stability did not guarantee long-term stability and lack of short-term stability did not necessarily lead to long-term instability, indicating further research is needed to understand the </w:t>
      </w:r>
      <w:r w:rsidRPr="006B7C60">
        <w:rPr>
          <w:rFonts w:eastAsia="PMingLiU" w:hint="eastAsia"/>
          <w:lang w:eastAsia="zh-TW"/>
        </w:rPr>
        <w:t xml:space="preserve">development of </w:t>
      </w:r>
      <w:r>
        <w:t>the expressive (emotional) aspects of</w:t>
      </w:r>
      <w:r w:rsidRPr="00556EBE">
        <w:t xml:space="preserve"> </w:t>
      </w:r>
      <w:r w:rsidRPr="00653CA8">
        <w:rPr>
          <w:rFonts w:eastAsia="PMingLiU" w:hint="eastAsia"/>
          <w:lang w:eastAsia="zh-TW"/>
        </w:rPr>
        <w:t xml:space="preserve">mastery </w:t>
      </w:r>
      <w:r w:rsidRPr="00556EBE">
        <w:t xml:space="preserve">motivation. </w:t>
      </w:r>
      <w:r w:rsidRPr="00653CA8">
        <w:rPr>
          <w:rFonts w:eastAsia="PMingLiU" w:hint="eastAsia"/>
          <w:lang w:eastAsia="zh-TW"/>
        </w:rPr>
        <w:t>In terms of the association between mastery motivation and later competence, t</w:t>
      </w:r>
      <w:r w:rsidRPr="00556EBE">
        <w:t xml:space="preserve">he present study found that, throughout the assessment period, task persistence </w:t>
      </w:r>
      <w:r w:rsidRPr="00151579">
        <w:rPr>
          <w:rFonts w:eastAsia="PMingLiU" w:hint="eastAsia"/>
          <w:lang w:eastAsia="zh-TW"/>
        </w:rPr>
        <w:t>i</w:t>
      </w:r>
      <w:r w:rsidRPr="00556EBE">
        <w:t xml:space="preserve">s an important predictor of </w:t>
      </w:r>
      <w:r w:rsidRPr="00653CA8">
        <w:rPr>
          <w:rFonts w:eastAsia="PMingLiU" w:hint="eastAsia"/>
          <w:lang w:eastAsia="zh-TW"/>
        </w:rPr>
        <w:t xml:space="preserve">later </w:t>
      </w:r>
      <w:r w:rsidRPr="00556EBE">
        <w:t>competence. The negative predictive effect of mastery pleasure on competence should be further investigated in future research.</w:t>
      </w:r>
      <w:r>
        <w:t xml:space="preserve"> </w:t>
      </w:r>
    </w:p>
    <w:p w:rsidR="00E41334" w:rsidRPr="00FE1239" w:rsidRDefault="00E41334" w:rsidP="00E41334">
      <w:pPr>
        <w:pStyle w:val="Sectiontitle"/>
      </w:pPr>
      <w:r w:rsidRPr="00FE1239">
        <w:t>Conclusion</w:t>
      </w:r>
    </w:p>
    <w:p w:rsidR="00E41334" w:rsidRDefault="00E41334" w:rsidP="00E41334">
      <w:pPr>
        <w:pStyle w:val="Text"/>
      </w:pPr>
      <w:r>
        <w:t xml:space="preserve">An important message </w:t>
      </w:r>
      <w:r w:rsidRPr="00653CA8">
        <w:rPr>
          <w:rFonts w:hint="eastAsia"/>
        </w:rPr>
        <w:t>for parents and educators</w:t>
      </w:r>
      <w:r>
        <w:t xml:space="preserve"> is that the results of </w:t>
      </w:r>
      <w:r w:rsidRPr="00653CA8">
        <w:rPr>
          <w:rFonts w:hint="eastAsia"/>
        </w:rPr>
        <w:t>this study revealed that early competence in infancy was not a valuable predictor of preschooler</w:t>
      </w:r>
      <w:r w:rsidRPr="00653CA8">
        <w:t>’</w:t>
      </w:r>
      <w:r w:rsidRPr="00653CA8">
        <w:rPr>
          <w:rFonts w:hint="eastAsia"/>
        </w:rPr>
        <w:t>s capability</w:t>
      </w:r>
      <w:r>
        <w:t>. In contrast,</w:t>
      </w:r>
      <w:r w:rsidRPr="00653CA8">
        <w:rPr>
          <w:rFonts w:hint="eastAsia"/>
        </w:rPr>
        <w:t xml:space="preserve"> </w:t>
      </w:r>
      <w:r w:rsidRPr="00556EBE">
        <w:t>tenacious attempts to master the environment</w:t>
      </w:r>
      <w:r w:rsidRPr="00130EE2">
        <w:rPr>
          <w:rFonts w:hint="eastAsia"/>
        </w:rPr>
        <w:t xml:space="preserve"> </w:t>
      </w:r>
      <w:r>
        <w:t>in</w:t>
      </w:r>
      <w:r>
        <w:rPr>
          <w:rFonts w:hint="eastAsia"/>
        </w:rPr>
        <w:t xml:space="preserve"> early childhood</w:t>
      </w:r>
      <w:r>
        <w:t>,</w:t>
      </w:r>
      <w:r>
        <w:rPr>
          <w:rFonts w:hint="eastAsia"/>
        </w:rPr>
        <w:t xml:space="preserve"> from infancy to</w:t>
      </w:r>
      <w:r w:rsidRPr="00566AE4">
        <w:t xml:space="preserve"> the </w:t>
      </w:r>
      <w:r>
        <w:t>preschool years,</w:t>
      </w:r>
      <w:r w:rsidRPr="00566AE4">
        <w:t xml:space="preserve"> </w:t>
      </w:r>
      <w:r>
        <w:rPr>
          <w:rFonts w:hint="eastAsia"/>
        </w:rPr>
        <w:t>contributed to the development of general competence</w:t>
      </w:r>
      <w:r>
        <w:t xml:space="preserve"> and probably to school readiness</w:t>
      </w:r>
      <w:r>
        <w:rPr>
          <w:rFonts w:hint="eastAsia"/>
        </w:rPr>
        <w:t>. Young children</w:t>
      </w:r>
      <w:r>
        <w:t>’</w:t>
      </w:r>
      <w:r>
        <w:rPr>
          <w:rFonts w:hint="eastAsia"/>
        </w:rPr>
        <w:t>s negative reactions to failure</w:t>
      </w:r>
      <w:r w:rsidRPr="00653CA8">
        <w:rPr>
          <w:rFonts w:hint="eastAsia"/>
        </w:rPr>
        <w:t>, although</w:t>
      </w:r>
      <w:r w:rsidRPr="00761527">
        <w:t xml:space="preserve"> </w:t>
      </w:r>
      <w:r>
        <w:t xml:space="preserve">they </w:t>
      </w:r>
      <w:r>
        <w:rPr>
          <w:rFonts w:hint="eastAsia"/>
        </w:rPr>
        <w:t xml:space="preserve">may </w:t>
      </w:r>
      <w:r>
        <w:t>exasperate</w:t>
      </w:r>
      <w:r>
        <w:rPr>
          <w:rFonts w:hint="eastAsia"/>
        </w:rPr>
        <w:t xml:space="preserve"> parents and teachers</w:t>
      </w:r>
      <w:r>
        <w:t xml:space="preserve"> when they</w:t>
      </w:r>
      <w:r>
        <w:rPr>
          <w:rFonts w:hint="eastAsia"/>
        </w:rPr>
        <w:t xml:space="preserve"> work with the child,</w:t>
      </w:r>
      <w:r>
        <w:t xml:space="preserve"> </w:t>
      </w:r>
      <w:r>
        <w:rPr>
          <w:rFonts w:hint="eastAsia"/>
        </w:rPr>
        <w:t xml:space="preserve">was </w:t>
      </w:r>
      <w:r>
        <w:t xml:space="preserve">not </w:t>
      </w:r>
      <w:r>
        <w:rPr>
          <w:rFonts w:hint="eastAsia"/>
        </w:rPr>
        <w:t xml:space="preserve">an </w:t>
      </w:r>
      <w:r>
        <w:t>important factor leading to the development of</w:t>
      </w:r>
      <w:r>
        <w:rPr>
          <w:rFonts w:hint="eastAsia"/>
        </w:rPr>
        <w:t xml:space="preserve"> competence</w:t>
      </w:r>
      <w:r>
        <w:t>.</w:t>
      </w:r>
      <w:r>
        <w:rPr>
          <w:rFonts w:hint="eastAsia"/>
        </w:rPr>
        <w:t xml:space="preserve"> </w:t>
      </w:r>
    </w:p>
    <w:p w:rsidR="00E41334" w:rsidRPr="00FE1239" w:rsidRDefault="00E41334" w:rsidP="00E41334">
      <w:pPr>
        <w:pStyle w:val="Sectiontitle"/>
      </w:pPr>
      <w:r w:rsidRPr="00FE1239">
        <w:t>Acknowledgement</w:t>
      </w:r>
    </w:p>
    <w:p w:rsidR="00E41334" w:rsidRPr="00556EBE" w:rsidRDefault="00E41334" w:rsidP="00E41334">
      <w:pPr>
        <w:pStyle w:val="Text"/>
      </w:pPr>
      <w:r w:rsidRPr="00556EBE">
        <w:t>This research was supported by National Science Council of Taiwan, ROC, Grant NSC-97-2410-H-002-157 and NSC 99-2420-H-002-078–MY3 awarded to Keng-Ling Lay.</w:t>
      </w:r>
    </w:p>
    <w:p w:rsidR="00E41334" w:rsidRPr="00556EBE" w:rsidRDefault="00E41334" w:rsidP="00E41334">
      <w:pPr>
        <w:pStyle w:val="Sectiontitle"/>
      </w:pPr>
      <w:r w:rsidRPr="00556EBE">
        <w:t>References</w:t>
      </w:r>
    </w:p>
    <w:p w:rsidR="00E41334" w:rsidRPr="00FE1239" w:rsidRDefault="00E41334" w:rsidP="00E41334">
      <w:pPr>
        <w:pStyle w:val="References"/>
      </w:pPr>
      <w:r w:rsidRPr="00FE1239">
        <w:t xml:space="preserve">Banerjee, P. N., &amp; Tamis-LeMonda, C. S. (2007). Infants' persistence and mothers' teaching as predictors of toddlers' cognitive development. </w:t>
      </w:r>
      <w:r w:rsidRPr="00520F43">
        <w:rPr>
          <w:i/>
        </w:rPr>
        <w:t>Infant Behavior and Development, 30</w:t>
      </w:r>
      <w:r>
        <w:t>(3)</w:t>
      </w:r>
      <w:r w:rsidRPr="00FE1239">
        <w:t xml:space="preserve">, 479–491. </w:t>
      </w:r>
      <w:hyperlink r:id="rId9" w:history="1">
        <w:r w:rsidRPr="00FE1239">
          <w:rPr>
            <w:rStyle w:val="Hiperhivatkozs"/>
          </w:rPr>
          <w:t>https://doi.org/10.1016/j.infbeh.2006.12.001</w:t>
        </w:r>
      </w:hyperlink>
    </w:p>
    <w:p w:rsidR="00E41334" w:rsidRPr="00FE1239" w:rsidRDefault="00E41334" w:rsidP="00E41334">
      <w:pPr>
        <w:pStyle w:val="References"/>
      </w:pPr>
      <w:r w:rsidRPr="00FE1239">
        <w:t>Barrett, K. C., &amp; Morgan, G. A. (1995). Continuities and discontinuities in mastery motivation during infancy and toddlerhood: A conceptualization and review. In R. H. MacTurk, &amp; G. A. Morgan (</w:t>
      </w:r>
      <w:r>
        <w:t>Eds.</w:t>
      </w:r>
      <w:r w:rsidRPr="00FE1239">
        <w:t xml:space="preserve">), </w:t>
      </w:r>
      <w:r w:rsidRPr="00520F43">
        <w:rPr>
          <w:i/>
        </w:rPr>
        <w:t>Mastery motivation: Origins, conceptualizations, and applications</w:t>
      </w:r>
      <w:r w:rsidRPr="00FE1239">
        <w:t xml:space="preserve"> (pp. 57–93). Norwood, NJ: Ablex.</w:t>
      </w:r>
    </w:p>
    <w:p w:rsidR="00E41334" w:rsidRPr="00FE1239" w:rsidRDefault="00E41334" w:rsidP="00E41334">
      <w:pPr>
        <w:pStyle w:val="References"/>
      </w:pPr>
      <w:r w:rsidRPr="00FE1239">
        <w:t xml:space="preserve">Barrett, K. C., Józsa, K., &amp; Morgan, G. A. (2017). New computer-based mastery motivation and executive function tasks for school readiness and school success in 3 to 8 year-old children. </w:t>
      </w:r>
      <w:r w:rsidRPr="00520F43">
        <w:rPr>
          <w:i/>
        </w:rPr>
        <w:t>Hungarian Educational Research Journal, 7</w:t>
      </w:r>
      <w:r w:rsidRPr="00FE1239">
        <w:t>(2), 8</w:t>
      </w:r>
      <w:r>
        <w:t>6</w:t>
      </w:r>
      <w:r w:rsidRPr="00FE1239">
        <w:t>‒10</w:t>
      </w:r>
      <w:r>
        <w:t>5</w:t>
      </w:r>
      <w:r w:rsidRPr="00FE1239">
        <w:t>.</w:t>
      </w:r>
    </w:p>
    <w:p w:rsidR="00E41334" w:rsidRPr="00FE1239" w:rsidRDefault="00E41334" w:rsidP="00E41334">
      <w:pPr>
        <w:pStyle w:val="References"/>
      </w:pPr>
      <w:r w:rsidRPr="00FE1239">
        <w:t xml:space="preserve">Busch-Rossnagel, N. A., Knauf-Jensen, D. E., &amp; DesRosiers, F. S. (1995). Mothers and others: The role of the socializing environment in the development of mastery motivation. In R. H. MacTurk, &amp; G. A. </w:t>
      </w:r>
      <w:r w:rsidRPr="00FE1239">
        <w:lastRenderedPageBreak/>
        <w:t>Morgan (</w:t>
      </w:r>
      <w:r>
        <w:t>Eds.</w:t>
      </w:r>
      <w:r w:rsidRPr="00FE1239">
        <w:t xml:space="preserve">), </w:t>
      </w:r>
      <w:r w:rsidRPr="00520F43">
        <w:rPr>
          <w:i/>
        </w:rPr>
        <w:t>Mastery motivation: Origins, conceptualizations, and applications</w:t>
      </w:r>
      <w:r w:rsidRPr="00FE1239">
        <w:t xml:space="preserve"> (pp. 117–145). Norwood, NJ: Ablex.</w:t>
      </w:r>
    </w:p>
    <w:p w:rsidR="00E41334" w:rsidRPr="00FE1239" w:rsidRDefault="00E41334" w:rsidP="00E41334">
      <w:pPr>
        <w:pStyle w:val="References"/>
      </w:pPr>
      <w:r w:rsidRPr="00FE1239">
        <w:t xml:space="preserve">Deci, E. L., &amp; Ryan, R. M. (1985). </w:t>
      </w:r>
      <w:r w:rsidRPr="00520F43">
        <w:rPr>
          <w:i/>
        </w:rPr>
        <w:t>Intrinsic motivation and self-determination in human behavior</w:t>
      </w:r>
      <w:r w:rsidRPr="00FE1239">
        <w:t xml:space="preserve">. New York: Plenum Press. </w:t>
      </w:r>
      <w:hyperlink r:id="rId10" w:history="1">
        <w:r w:rsidRPr="00FE1239">
          <w:rPr>
            <w:rStyle w:val="Hiperhivatkozs"/>
          </w:rPr>
          <w:t>https://doi.org/10.1007/978-1-4899-2271-7</w:t>
        </w:r>
      </w:hyperlink>
    </w:p>
    <w:p w:rsidR="00E41334" w:rsidRPr="00FE1239" w:rsidRDefault="00E41334" w:rsidP="00E41334">
      <w:pPr>
        <w:pStyle w:val="References"/>
      </w:pPr>
      <w:r w:rsidRPr="00FE1239">
        <w:t xml:space="preserve">Gilmore, L., &amp; Cuskelly, M. (2009). A longitudinal study of motivation and competence in children with Down syndrome: Early childhood to early adolescence. </w:t>
      </w:r>
      <w:r w:rsidRPr="00520F43">
        <w:rPr>
          <w:i/>
        </w:rPr>
        <w:t>Journal of Intellectual Disability Research, 53</w:t>
      </w:r>
      <w:r>
        <w:t>(5)</w:t>
      </w:r>
      <w:r w:rsidRPr="00FE1239">
        <w:t xml:space="preserve">, 484–492. </w:t>
      </w:r>
      <w:hyperlink r:id="rId11" w:history="1">
        <w:r w:rsidRPr="00FE1239">
          <w:rPr>
            <w:rStyle w:val="Hiperhivatkozs"/>
          </w:rPr>
          <w:t>https://doi.org/10.1111/j.1365-2788.2009.01166.x</w:t>
        </w:r>
      </w:hyperlink>
    </w:p>
    <w:p w:rsidR="00E41334" w:rsidRPr="00FE1239" w:rsidRDefault="00E41334" w:rsidP="00E41334">
      <w:pPr>
        <w:pStyle w:val="References"/>
      </w:pPr>
      <w:r w:rsidRPr="00FE1239">
        <w:t xml:space="preserve">Gilmore, L., Cuskelly, M., &amp; Purdie, N. (2003). Mastery motivation: Stability and predictive validity from ages two to eight. </w:t>
      </w:r>
      <w:r w:rsidRPr="00520F43">
        <w:rPr>
          <w:i/>
        </w:rPr>
        <w:t>Early Education and Development, 14</w:t>
      </w:r>
      <w:r>
        <w:t>(4)</w:t>
      </w:r>
      <w:r w:rsidRPr="00FE1239">
        <w:t xml:space="preserve">, 411–424. </w:t>
      </w:r>
      <w:hyperlink r:id="rId12" w:history="1">
        <w:r w:rsidRPr="00FE1239">
          <w:rPr>
            <w:rStyle w:val="Hiperhivatkozs"/>
          </w:rPr>
          <w:t>https://doi.org/10.1207/s15566935eed1404_2</w:t>
        </w:r>
      </w:hyperlink>
    </w:p>
    <w:p w:rsidR="00E41334" w:rsidRPr="00FE1239" w:rsidRDefault="00E41334" w:rsidP="00E41334">
      <w:pPr>
        <w:pStyle w:val="References"/>
      </w:pPr>
      <w:r w:rsidRPr="00FE1239">
        <w:t xml:space="preserve">Huang, S.-Y., Lay, K.-L., &amp; Chen, Y.-C. (2009). The assessment of the organizational construct of mastery motivation: The reliability and validity in infants of 9 months old. </w:t>
      </w:r>
      <w:r w:rsidRPr="00520F43">
        <w:rPr>
          <w:i/>
        </w:rPr>
        <w:t>Chinese Journal of Psychology, 51</w:t>
      </w:r>
      <w:r>
        <w:t>(4)</w:t>
      </w:r>
      <w:r w:rsidRPr="00FE1239">
        <w:t xml:space="preserve">, 501‒526. </w:t>
      </w:r>
      <w:hyperlink r:id="rId13" w:history="1">
        <w:r w:rsidRPr="00FE1239">
          <w:rPr>
            <w:rStyle w:val="Hiperhivatkozs"/>
          </w:rPr>
          <w:t>https://doi.org/10.6129/CJP.2009.5104.07</w:t>
        </w:r>
      </w:hyperlink>
    </w:p>
    <w:p w:rsidR="00E41334" w:rsidRDefault="00E41334" w:rsidP="00E41334">
      <w:pPr>
        <w:pStyle w:val="References"/>
      </w:pPr>
      <w:r w:rsidRPr="00B35FE0">
        <w:t xml:space="preserve">Hwang, A.-W., Wang, J., Józsa, K., Wang, P.-J., Liao, H.-F., &amp; Morgan, G. A. (2017). Cross cultural invariance and comparisons of Hungarian-, Chinese-, and English-speaking preschool children leading to the revised Dimensions of Mastery Questionnaire (DMQ 18). </w:t>
      </w:r>
      <w:r w:rsidRPr="00B35FE0">
        <w:rPr>
          <w:i/>
        </w:rPr>
        <w:t>Hungarian Educational Research Journal, 7</w:t>
      </w:r>
      <w:r w:rsidRPr="00B35FE0">
        <w:t xml:space="preserve">(2), 32‒47. </w:t>
      </w:r>
    </w:p>
    <w:p w:rsidR="00E41334" w:rsidRPr="00FE1239" w:rsidRDefault="00E41334" w:rsidP="00E41334">
      <w:pPr>
        <w:pStyle w:val="References"/>
      </w:pPr>
      <w:r w:rsidRPr="00FE1239">
        <w:t>Jennings, K. D., Conner, R. E., &amp; Stegman, C. E. (1988). Does a physical handicap alter the development of mastery motivation during the preschool years</w:t>
      </w:r>
      <w:r w:rsidRPr="00520F43">
        <w:rPr>
          <w:i/>
        </w:rPr>
        <w:t>? Journal of the American Academy of Child and Adolescent Psychiatry, 27</w:t>
      </w:r>
      <w:r>
        <w:t>(3)</w:t>
      </w:r>
      <w:r w:rsidRPr="00FE1239">
        <w:t xml:space="preserve">, 312–317. </w:t>
      </w:r>
      <w:hyperlink r:id="rId14" w:history="1">
        <w:r w:rsidRPr="00FE1239">
          <w:rPr>
            <w:rStyle w:val="Hiperhivatkozs"/>
          </w:rPr>
          <w:t>https://doi.org/10.1097/00004583-198805000-00008</w:t>
        </w:r>
      </w:hyperlink>
    </w:p>
    <w:p w:rsidR="00E41334" w:rsidRPr="00FE1239" w:rsidRDefault="00E41334" w:rsidP="00E41334">
      <w:pPr>
        <w:pStyle w:val="References"/>
      </w:pPr>
      <w:r w:rsidRPr="00FE1239">
        <w:t xml:space="preserve">Jennings, K. D., Harmon, R. J., Morgan, G. A., Gaiter, J. L., &amp; Yarrow, L. J. (1979). Exploratory play as an index of mastery motivation: Relationships to persistence, cognitive functioning and environmental measures. </w:t>
      </w:r>
      <w:r w:rsidRPr="00520F43">
        <w:rPr>
          <w:i/>
        </w:rPr>
        <w:t>Developmental Psychology, 15</w:t>
      </w:r>
      <w:r>
        <w:t>(4)</w:t>
      </w:r>
      <w:r w:rsidRPr="00FE1239">
        <w:t xml:space="preserve">, 386–394. </w:t>
      </w:r>
      <w:hyperlink r:id="rId15" w:history="1">
        <w:r w:rsidRPr="00FE1239">
          <w:rPr>
            <w:rStyle w:val="Hiperhivatkozs"/>
          </w:rPr>
          <w:t>https://doi.org/10.1037//0012-1649.15.4.386</w:t>
        </w:r>
      </w:hyperlink>
    </w:p>
    <w:p w:rsidR="00E41334" w:rsidRPr="00FE1239" w:rsidRDefault="00E41334" w:rsidP="00E41334">
      <w:pPr>
        <w:pStyle w:val="References"/>
      </w:pPr>
      <w:r w:rsidRPr="00FE1239">
        <w:t xml:space="preserve">Jennings, K. D., Yarrow, L. J., &amp; Martin, P. P. (1984). Mastery motivation and cognitive development: A longitudinal study from infancy to 3 1/2 years of age. </w:t>
      </w:r>
      <w:r w:rsidRPr="00520F43">
        <w:rPr>
          <w:i/>
        </w:rPr>
        <w:t>International Journal of Behavioral Development, 7</w:t>
      </w:r>
      <w:r>
        <w:t>(4)</w:t>
      </w:r>
      <w:r w:rsidRPr="00FE1239">
        <w:t xml:space="preserve">, 441–461. </w:t>
      </w:r>
      <w:hyperlink r:id="rId16" w:history="1">
        <w:r w:rsidRPr="00FE1239">
          <w:rPr>
            <w:rStyle w:val="Hiperhivatkozs"/>
          </w:rPr>
          <w:t>https://doi.org/10.1177/016502548400700404</w:t>
        </w:r>
      </w:hyperlink>
    </w:p>
    <w:p w:rsidR="00E41334" w:rsidRPr="00FE1239" w:rsidRDefault="00E41334" w:rsidP="00E41334">
      <w:pPr>
        <w:pStyle w:val="References"/>
      </w:pPr>
      <w:r w:rsidRPr="00FE1239">
        <w:t xml:space="preserve">Józsa, K., Barrett, K. C., Józsa, G., Kis, N., &amp; Morgan, G. A. (2017). Development and initial evaluation of an individualized moderately challenging computer-tablet mastery motivation measure for 3-8 year-olds. </w:t>
      </w:r>
      <w:r w:rsidRPr="00520F43">
        <w:rPr>
          <w:i/>
        </w:rPr>
        <w:t>Hungarian Educational Research Journal, 7</w:t>
      </w:r>
      <w:r w:rsidRPr="00FE1239">
        <w:t>(2), 10</w:t>
      </w:r>
      <w:r>
        <w:t>6</w:t>
      </w:r>
      <w:r w:rsidRPr="00FE1239">
        <w:t>–12</w:t>
      </w:r>
      <w:r>
        <w:t>6</w:t>
      </w:r>
      <w:r w:rsidRPr="00FE1239">
        <w:t>.</w:t>
      </w:r>
    </w:p>
    <w:p w:rsidR="00E41334" w:rsidRPr="00FE1239" w:rsidRDefault="00E41334" w:rsidP="00E41334">
      <w:pPr>
        <w:pStyle w:val="References"/>
      </w:pPr>
      <w:r w:rsidRPr="00FE1239">
        <w:t>Józsa, K., &amp; Molnár, É. D. (2013). The relationship between mastery motivation, self-regulated learning and school success: A Hungarian and European perspective. In K. C. Barrett, N. A. Fox, G. A. Morgan, D. J. Fidler, &amp; L. A. Daunhauer (</w:t>
      </w:r>
      <w:r>
        <w:t>Eds.</w:t>
      </w:r>
      <w:r w:rsidRPr="00FE1239">
        <w:t xml:space="preserve">), </w:t>
      </w:r>
      <w:r w:rsidRPr="00465959">
        <w:rPr>
          <w:i/>
        </w:rPr>
        <w:t>Handbook on self-regulatory processes in development: New directions and international perspectives</w:t>
      </w:r>
      <w:r w:rsidRPr="00FE1239">
        <w:t xml:space="preserve"> (pp. 265–304). New York, NY: Psychology Press. </w:t>
      </w:r>
      <w:hyperlink r:id="rId17" w:history="1">
        <w:r w:rsidRPr="00FE1239">
          <w:rPr>
            <w:rStyle w:val="Hiperhivatkozs"/>
          </w:rPr>
          <w:t>https://doi.org/10.4324/9780203080719.ch13</w:t>
        </w:r>
      </w:hyperlink>
    </w:p>
    <w:p w:rsidR="00E41334" w:rsidRPr="00FE1239" w:rsidRDefault="00E41334" w:rsidP="00E41334">
      <w:pPr>
        <w:pStyle w:val="References"/>
      </w:pPr>
      <w:r w:rsidRPr="00FE1239">
        <w:t xml:space="preserve">Józsa, K., &amp; Morgan, G. A. (2014). Developmental changes in cognitive persistence and academic achievement between grade 4 and grade 8. </w:t>
      </w:r>
      <w:r w:rsidRPr="00465959">
        <w:rPr>
          <w:i/>
        </w:rPr>
        <w:t>European Journal of Psychology of Education, 29</w:t>
      </w:r>
      <w:r w:rsidRPr="00FE1239">
        <w:t xml:space="preserve">(3), 521–535. </w:t>
      </w:r>
      <w:hyperlink r:id="rId18" w:history="1">
        <w:r w:rsidRPr="00FE1239">
          <w:rPr>
            <w:rStyle w:val="Hiperhivatkozs"/>
          </w:rPr>
          <w:t>https://doi.org/10.1007/s10212-014-0211-z</w:t>
        </w:r>
      </w:hyperlink>
    </w:p>
    <w:p w:rsidR="00E41334" w:rsidRPr="00FE1239" w:rsidRDefault="00E41334" w:rsidP="00E41334">
      <w:pPr>
        <w:pStyle w:val="References"/>
      </w:pPr>
      <w:r w:rsidRPr="00FE1239">
        <w:t xml:space="preserve">Józsa, K. &amp; Morgan, G. A. (2017). Reversed items in Likert scales: Filtering out invalid responders. </w:t>
      </w:r>
      <w:r w:rsidRPr="00465959">
        <w:rPr>
          <w:i/>
        </w:rPr>
        <w:t>Journal of Psychological and Educational Research, 25</w:t>
      </w:r>
      <w:r w:rsidRPr="00FE1239">
        <w:t>(1), 7–25.</w:t>
      </w:r>
    </w:p>
    <w:p w:rsidR="00E41334" w:rsidRPr="00FE1239" w:rsidRDefault="00E41334" w:rsidP="00E41334">
      <w:pPr>
        <w:pStyle w:val="References"/>
      </w:pPr>
      <w:r w:rsidRPr="00FE1239">
        <w:t xml:space="preserve">Józsa, K., Wang, J., Barrett, K. C., &amp; Morgan, G. A. (2014). Age and cultural differences in self-perceptions of mastery motivation and competence in American, Chinese, and Hungarian school age Children. </w:t>
      </w:r>
      <w:r w:rsidRPr="00465959">
        <w:rPr>
          <w:i/>
        </w:rPr>
        <w:t>Child Development Research</w:t>
      </w:r>
      <w:r w:rsidRPr="00FE1239">
        <w:t xml:space="preserve">, Vol. 2014, Article ID 803061, 16 pages. </w:t>
      </w:r>
      <w:hyperlink r:id="rId19" w:history="1">
        <w:r w:rsidRPr="00FE1239">
          <w:rPr>
            <w:rStyle w:val="Hiperhivatkozs"/>
          </w:rPr>
          <w:t>https://doi.org/10.1155/2014/803061</w:t>
        </w:r>
      </w:hyperlink>
    </w:p>
    <w:p w:rsidR="00E41334" w:rsidRPr="00FE1239" w:rsidRDefault="00E41334" w:rsidP="00E41334">
      <w:pPr>
        <w:pStyle w:val="References"/>
      </w:pPr>
      <w:r w:rsidRPr="00FE1239">
        <w:t xml:space="preserve">Kagan, J. (1992). </w:t>
      </w:r>
      <w:r w:rsidRPr="00CE766E">
        <w:rPr>
          <w:i/>
        </w:rPr>
        <w:t>Unstable ideas: Temperament, cognition, and self</w:t>
      </w:r>
      <w:r w:rsidRPr="00FE1239">
        <w:t>. Cambridge, MA, US: Harvard University Press.</w:t>
      </w:r>
    </w:p>
    <w:p w:rsidR="00E41334" w:rsidRPr="00FE1239" w:rsidRDefault="00E41334" w:rsidP="00E41334">
      <w:pPr>
        <w:pStyle w:val="References"/>
      </w:pPr>
      <w:r w:rsidRPr="00FE1239">
        <w:t xml:space="preserve">Kelley, S. A., &amp; Jennings, K. D. (2003). Putting the pieces together: Maternal depression, maternal behavior, and toddler helplessness. </w:t>
      </w:r>
      <w:r w:rsidRPr="00465959">
        <w:rPr>
          <w:i/>
        </w:rPr>
        <w:t>Infant Mental Health Journal, 24</w:t>
      </w:r>
      <w:r>
        <w:t>(1)</w:t>
      </w:r>
      <w:r w:rsidRPr="00FE1239">
        <w:t xml:space="preserve">, 74–90. </w:t>
      </w:r>
      <w:hyperlink r:id="rId20" w:history="1">
        <w:r w:rsidRPr="00FE1239">
          <w:rPr>
            <w:rStyle w:val="Hiperhivatkozs"/>
          </w:rPr>
          <w:t>https://doi.org/10.1002/imhj.10044</w:t>
        </w:r>
      </w:hyperlink>
    </w:p>
    <w:p w:rsidR="00E41334" w:rsidRPr="00FE1239" w:rsidRDefault="00E41334" w:rsidP="00E41334">
      <w:pPr>
        <w:pStyle w:val="References"/>
      </w:pPr>
      <w:r w:rsidRPr="00FE1239">
        <w:lastRenderedPageBreak/>
        <w:t xml:space="preserve">Kelley, S. A., Brownell, C. A., &amp; Campbell, S. B. (2000). Mastery motivation and self-evaluative affect in toddlers: Longitudinal relations with maternal behavior. </w:t>
      </w:r>
      <w:r w:rsidRPr="00465959">
        <w:rPr>
          <w:i/>
        </w:rPr>
        <w:t>Child Development, 71</w:t>
      </w:r>
      <w:r>
        <w:t>(4)</w:t>
      </w:r>
      <w:r w:rsidRPr="00FE1239">
        <w:t xml:space="preserve">, 1061–1071. </w:t>
      </w:r>
      <w:hyperlink r:id="rId21" w:history="1">
        <w:r w:rsidRPr="00FE1239">
          <w:rPr>
            <w:rStyle w:val="Hiperhivatkozs"/>
          </w:rPr>
          <w:t>https://doi.org/10.1111/1467-8624.00209</w:t>
        </w:r>
      </w:hyperlink>
    </w:p>
    <w:p w:rsidR="00E41334" w:rsidRPr="00FE1239" w:rsidRDefault="00E41334" w:rsidP="00E41334">
      <w:pPr>
        <w:pStyle w:val="References"/>
      </w:pPr>
      <w:r w:rsidRPr="00FE1239">
        <w:t xml:space="preserve">Lewis, M., Alessandri, S. M., &amp; Sullivan, M. W. (1992). Differences in shame and pride as a function of children's gender and task difficulty. </w:t>
      </w:r>
      <w:r w:rsidRPr="00465959">
        <w:rPr>
          <w:i/>
        </w:rPr>
        <w:t>Child Development, 63</w:t>
      </w:r>
      <w:r>
        <w:t>(3)</w:t>
      </w:r>
      <w:r w:rsidRPr="00FE1239">
        <w:t xml:space="preserve">, 630–638. </w:t>
      </w:r>
      <w:hyperlink r:id="rId22" w:history="1">
        <w:r w:rsidRPr="00FE1239">
          <w:rPr>
            <w:rStyle w:val="Hiperhivatkozs"/>
          </w:rPr>
          <w:t>https://doi.org/10.2307/1131351</w:t>
        </w:r>
      </w:hyperlink>
    </w:p>
    <w:p w:rsidR="00E41334" w:rsidRPr="00FE1239" w:rsidRDefault="00E41334" w:rsidP="00E41334">
      <w:pPr>
        <w:pStyle w:val="References"/>
      </w:pPr>
      <w:r w:rsidRPr="00FE1239">
        <w:t xml:space="preserve">Maslin-Cole, C., Bretherton, I., &amp; Morgan, G. A. (1993). Toddler mastery motivation and competence: Links with attachment security, maternal scaffolding, and family climate. In D. J. Messer (Ed.), </w:t>
      </w:r>
      <w:r w:rsidRPr="00465959">
        <w:rPr>
          <w:i/>
        </w:rPr>
        <w:t>Mastery motivation in early childhood: Development, measurement, and social processes</w:t>
      </w:r>
      <w:r w:rsidRPr="00FE1239">
        <w:t xml:space="preserve"> (pp. 205–229). London: Routledge.</w:t>
      </w:r>
    </w:p>
    <w:p w:rsidR="00E41334" w:rsidRPr="00FE1239" w:rsidRDefault="00E41334" w:rsidP="00E41334">
      <w:pPr>
        <w:pStyle w:val="References"/>
      </w:pPr>
      <w:r w:rsidRPr="00FE1239">
        <w:t xml:space="preserve">Messer, D., McCarthy, M. E., MacTurk, R., Yarrow, L. J., &amp; Vietze, P. (1986). Relations between mastery behavior in infancy and competence in early childhood. </w:t>
      </w:r>
      <w:r w:rsidRPr="00465959">
        <w:rPr>
          <w:i/>
        </w:rPr>
        <w:t>Developmental Psychology, 22</w:t>
      </w:r>
      <w:r>
        <w:t>(3)</w:t>
      </w:r>
      <w:r w:rsidRPr="00FE1239">
        <w:t xml:space="preserve">, 366–372. </w:t>
      </w:r>
      <w:hyperlink r:id="rId23" w:history="1">
        <w:r w:rsidRPr="00FE1239">
          <w:rPr>
            <w:rStyle w:val="Hiperhivatkozs"/>
          </w:rPr>
          <w:t>https://doi.org/10.1037/0012-1649.22.3.366</w:t>
        </w:r>
      </w:hyperlink>
    </w:p>
    <w:p w:rsidR="00E41334" w:rsidRPr="00FE1239" w:rsidRDefault="00E41334" w:rsidP="00E41334">
      <w:pPr>
        <w:pStyle w:val="References"/>
      </w:pPr>
      <w:r w:rsidRPr="00FE1239">
        <w:t xml:space="preserve">Morgan, G. A. (1997). </w:t>
      </w:r>
      <w:r w:rsidRPr="00465959">
        <w:rPr>
          <w:i/>
        </w:rPr>
        <w:t>Dimensions of Mastery Questionnaire (Database Record)</w:t>
      </w:r>
      <w:r w:rsidRPr="00FE1239">
        <w:t xml:space="preserve">. Retrieved from PsycTESTS. </w:t>
      </w:r>
      <w:hyperlink r:id="rId24" w:history="1">
        <w:r w:rsidRPr="00FE1239">
          <w:rPr>
            <w:rStyle w:val="Hiperhivatkozs"/>
          </w:rPr>
          <w:t>https://doi.org/10.1037/t04950-000</w:t>
        </w:r>
      </w:hyperlink>
    </w:p>
    <w:p w:rsidR="00E41334" w:rsidRPr="00FE1239" w:rsidRDefault="00E41334" w:rsidP="00E41334">
      <w:pPr>
        <w:pStyle w:val="References"/>
      </w:pPr>
      <w:r w:rsidRPr="00FE1239">
        <w:t xml:space="preserve">Morgan, G. A., Busch-Rossnagel, N. A., Barrett, K. C., &amp; Wang, J. (2009). </w:t>
      </w:r>
      <w:r w:rsidRPr="00465959">
        <w:rPr>
          <w:i/>
        </w:rPr>
        <w:t>The Dimensions of Mastery Questionnaire: A manual about its development, psychometrics and use</w:t>
      </w:r>
      <w:r w:rsidRPr="00FE1239">
        <w:t>. Colorado State University, Fort Collins.</w:t>
      </w:r>
    </w:p>
    <w:p w:rsidR="00E41334" w:rsidRPr="00FE1239" w:rsidRDefault="00E41334" w:rsidP="00E41334">
      <w:pPr>
        <w:pStyle w:val="References"/>
      </w:pPr>
      <w:r w:rsidRPr="00FE1239">
        <w:t xml:space="preserve">Morgan, G. A., Busch-Rossnagel, N. A., Maslin-Cole, C. A., &amp; Harmon, R. J. (1992). </w:t>
      </w:r>
      <w:r w:rsidRPr="00465959">
        <w:rPr>
          <w:i/>
        </w:rPr>
        <w:t>Mastery motivation tasks: Manual for 15- to 36-month-old children</w:t>
      </w:r>
      <w:r w:rsidRPr="00FE1239">
        <w:t>. Bronx: Fordham University.</w:t>
      </w:r>
    </w:p>
    <w:p w:rsidR="00E41334" w:rsidRPr="00FE1239" w:rsidRDefault="00E41334" w:rsidP="00E41334">
      <w:pPr>
        <w:pStyle w:val="References"/>
      </w:pPr>
      <w:r w:rsidRPr="00FE1239">
        <w:t xml:space="preserve">Morgan, G. A., Józsa, K., &amp; Liao, H.-F. (2017). </w:t>
      </w:r>
      <w:r w:rsidRPr="003A699E">
        <w:t>Introduction to the HERJ Special Issue on Mastery Motivation: Measures and Results across Cultures and Ages</w:t>
      </w:r>
      <w:r w:rsidRPr="00FE1239">
        <w:t xml:space="preserve">. </w:t>
      </w:r>
      <w:r w:rsidRPr="00465959">
        <w:rPr>
          <w:i/>
        </w:rPr>
        <w:t>Hungarian Educational Research Journal, 7</w:t>
      </w:r>
      <w:r w:rsidRPr="00FE1239">
        <w:t xml:space="preserve">(2), </w:t>
      </w:r>
      <w:r>
        <w:t>5</w:t>
      </w:r>
      <w:r w:rsidRPr="00FE1239">
        <w:t>–1</w:t>
      </w:r>
      <w:r>
        <w:t>4</w:t>
      </w:r>
      <w:r w:rsidRPr="00FE1239">
        <w:t>.</w:t>
      </w:r>
    </w:p>
    <w:p w:rsidR="00E41334" w:rsidRPr="00FE1239" w:rsidRDefault="00E41334" w:rsidP="00E41334">
      <w:pPr>
        <w:pStyle w:val="References"/>
      </w:pPr>
      <w:r w:rsidRPr="00FE1239">
        <w:t xml:space="preserve">Morgan, G. A., Liao, H.-F., Nyitrai, Á., Huang, S.-Y., Wang, P-J., Blasco, P., Ramakrishnan, J., &amp; Józsa, K. (2017). The revised Dimensions of Mastery Questionnaire (DMQ 18) for infants and preschool children with and without risks or delays in Hungary, Taiwan, and the US. </w:t>
      </w:r>
      <w:r w:rsidRPr="00465959">
        <w:rPr>
          <w:i/>
        </w:rPr>
        <w:t>Hungarian Educational Research Journal, 7</w:t>
      </w:r>
      <w:r w:rsidRPr="00FE1239">
        <w:t xml:space="preserve">(2), </w:t>
      </w:r>
      <w:r>
        <w:t>48</w:t>
      </w:r>
      <w:r w:rsidRPr="00FE1239">
        <w:t>–</w:t>
      </w:r>
      <w:r>
        <w:t>67</w:t>
      </w:r>
      <w:r w:rsidRPr="00FE1239">
        <w:t>.</w:t>
      </w:r>
    </w:p>
    <w:p w:rsidR="00E41334" w:rsidRPr="00FE1239" w:rsidRDefault="00E41334" w:rsidP="00E41334">
      <w:pPr>
        <w:pStyle w:val="References"/>
      </w:pPr>
      <w:r w:rsidRPr="00FE1239">
        <w:t>Morgan, G. A., MacTurk, R. H., &amp; Hrncir, E. J. (1995). Mastery motivation: Overview, definitions, and conceptual issues. In R. H. MacTurk, &amp; G. A. Morgan (</w:t>
      </w:r>
      <w:r>
        <w:t>Eds.</w:t>
      </w:r>
      <w:r w:rsidRPr="00FE1239">
        <w:t xml:space="preserve">), </w:t>
      </w:r>
      <w:r w:rsidRPr="00465959">
        <w:rPr>
          <w:i/>
        </w:rPr>
        <w:t>Mastery motivation: Origins, conceptualizations, and applications</w:t>
      </w:r>
      <w:r w:rsidRPr="00FE1239">
        <w:t xml:space="preserve"> (pp. 1–18). Norwood, NJ: Ablex.</w:t>
      </w:r>
    </w:p>
    <w:p w:rsidR="00E41334" w:rsidRPr="00FE1239" w:rsidRDefault="00E41334" w:rsidP="00E41334">
      <w:pPr>
        <w:pStyle w:val="References"/>
      </w:pPr>
      <w:r w:rsidRPr="00FE1239">
        <w:t>Morgan, G. A., Wang, J., Liao, H. F., &amp; Xu, Q. (2013). Using the Dimensions of Mastery Questionnaire to assess mastery motivation of English- and Chinese- speaking children: Psychometrics and implications for self-regulation. In K. C. Barrett, N. A. Fox, G. A. Morgan, D. J. Fidler, &amp; L. A. Daunhauer. (</w:t>
      </w:r>
      <w:r>
        <w:t>Eds.</w:t>
      </w:r>
      <w:r w:rsidRPr="00FE1239">
        <w:t xml:space="preserve">), </w:t>
      </w:r>
      <w:r w:rsidRPr="00465959">
        <w:rPr>
          <w:i/>
        </w:rPr>
        <w:t>Handbook of self-regulatory processes in development: New directions and international perspectives</w:t>
      </w:r>
      <w:r w:rsidRPr="00FE1239">
        <w:t xml:space="preserve"> (pp. 305–335). New York, NY: Psychology Press/Taylor and Francis. </w:t>
      </w:r>
      <w:hyperlink r:id="rId25" w:history="1">
        <w:r w:rsidRPr="00FE1239">
          <w:rPr>
            <w:rStyle w:val="Hiperhivatkozs"/>
          </w:rPr>
          <w:t>https://doi.org/10.4324/9780203080719.ch14</w:t>
        </w:r>
      </w:hyperlink>
    </w:p>
    <w:p w:rsidR="00E41334" w:rsidRPr="00FE1239" w:rsidRDefault="00E41334" w:rsidP="00E41334">
      <w:pPr>
        <w:pStyle w:val="References"/>
      </w:pPr>
      <w:r w:rsidRPr="00FE1239">
        <w:t xml:space="preserve">Niccols, A., Atkison, L., &amp; Pepler, D. (2003). Mastery motivation in young children with Down's syndrome: Relations with cognitive and adaptive competence. </w:t>
      </w:r>
      <w:r w:rsidRPr="00465959">
        <w:rPr>
          <w:i/>
        </w:rPr>
        <w:t>Journal of Intellectual Disability Research, 47</w:t>
      </w:r>
      <w:r>
        <w:t>(2)</w:t>
      </w:r>
      <w:r w:rsidRPr="00FE1239">
        <w:t xml:space="preserve">, 121–133. </w:t>
      </w:r>
      <w:hyperlink r:id="rId26" w:history="1">
        <w:r w:rsidRPr="00FE1239">
          <w:rPr>
            <w:rStyle w:val="Hiperhivatkozs"/>
          </w:rPr>
          <w:t>https://doi.org/10.1046/j.1365-2788.2003.00452.x</w:t>
        </w:r>
      </w:hyperlink>
    </w:p>
    <w:p w:rsidR="00E41334" w:rsidRPr="00FE1239" w:rsidRDefault="00E41334" w:rsidP="00E41334">
      <w:pPr>
        <w:pStyle w:val="References"/>
      </w:pPr>
      <w:r w:rsidRPr="00FE1239">
        <w:t xml:space="preserve">Piaget, J. (1962). The stages of the intellectual development of the child. </w:t>
      </w:r>
      <w:r w:rsidRPr="00465959">
        <w:rPr>
          <w:i/>
        </w:rPr>
        <w:t>Bulletin of the Menninger Clinic, 26</w:t>
      </w:r>
      <w:r w:rsidRPr="00FE1239">
        <w:t>, 120–128.</w:t>
      </w:r>
    </w:p>
    <w:p w:rsidR="00E41334" w:rsidRPr="00FE1239" w:rsidRDefault="00E41334" w:rsidP="00E41334">
      <w:pPr>
        <w:pStyle w:val="References"/>
      </w:pPr>
      <w:r w:rsidRPr="00FE1239">
        <w:t xml:space="preserve">Putnam, S. P., Gartstein, M. A., &amp; Rotharbart, M. K. (2006). Measurement of ﬁne-grained aspects of toddler temperament: The Early Childhood Behavior Questionnaire. </w:t>
      </w:r>
      <w:r w:rsidRPr="00465959">
        <w:rPr>
          <w:i/>
        </w:rPr>
        <w:t>Infant Behavior &amp; Development, 29</w:t>
      </w:r>
      <w:r>
        <w:t>(3)</w:t>
      </w:r>
      <w:r w:rsidRPr="00FE1239">
        <w:t xml:space="preserve">, 386–401. </w:t>
      </w:r>
      <w:hyperlink r:id="rId27" w:history="1">
        <w:r w:rsidRPr="00FE1239">
          <w:rPr>
            <w:rStyle w:val="Hiperhivatkozs"/>
          </w:rPr>
          <w:t>https://doi.org/10.1016/j.infbeh.2006.01.004</w:t>
        </w:r>
      </w:hyperlink>
    </w:p>
    <w:p w:rsidR="00E41334" w:rsidRPr="00FE1239" w:rsidRDefault="00E41334" w:rsidP="00E41334">
      <w:pPr>
        <w:pStyle w:val="References"/>
      </w:pPr>
      <w:r w:rsidRPr="00FE1239">
        <w:t xml:space="preserve">Redding, R. E., Morgan, G. A., &amp; Harmon, R. J. (1988). Mastery motivation in infants and toddlers: Is it greatest when tasks are moderately challenging? </w:t>
      </w:r>
      <w:r w:rsidRPr="00465959">
        <w:rPr>
          <w:i/>
        </w:rPr>
        <w:t>Infant Behavior and Development, 11</w:t>
      </w:r>
      <w:r>
        <w:t>(4)</w:t>
      </w:r>
      <w:r w:rsidRPr="00FE1239">
        <w:t xml:space="preserve">, 419–430. </w:t>
      </w:r>
      <w:hyperlink r:id="rId28" w:history="1">
        <w:r w:rsidRPr="00FE1239">
          <w:rPr>
            <w:rStyle w:val="Hiperhivatkozs"/>
          </w:rPr>
          <w:t>https://doi.org/10.1016/0163-6383(88)90003-3</w:t>
        </w:r>
      </w:hyperlink>
    </w:p>
    <w:p w:rsidR="00E41334" w:rsidRPr="00FE1239" w:rsidRDefault="00E41334" w:rsidP="00E41334">
      <w:pPr>
        <w:pStyle w:val="References"/>
      </w:pPr>
      <w:r w:rsidRPr="00FE1239">
        <w:t xml:space="preserve">Shiner, R. L. (2000). Linking childhood personality with adaptation: Evidence for continuity and change across time into late adolescence. </w:t>
      </w:r>
      <w:r w:rsidRPr="00465959">
        <w:rPr>
          <w:i/>
        </w:rPr>
        <w:t>Journal of Personality and Social Psychology, 78</w:t>
      </w:r>
      <w:r>
        <w:t>(2)</w:t>
      </w:r>
      <w:r w:rsidRPr="00FE1239">
        <w:t xml:space="preserve">, 310–325. </w:t>
      </w:r>
      <w:hyperlink r:id="rId29" w:history="1">
        <w:r w:rsidRPr="00FE1239">
          <w:rPr>
            <w:rStyle w:val="Hiperhivatkozs"/>
          </w:rPr>
          <w:t>https://doi.org/10.1037//0022-3514.78.2.310</w:t>
        </w:r>
      </w:hyperlink>
    </w:p>
    <w:p w:rsidR="00E41334" w:rsidRPr="00FE1239" w:rsidRDefault="00E41334" w:rsidP="00E41334">
      <w:pPr>
        <w:pStyle w:val="References"/>
      </w:pPr>
      <w:r w:rsidRPr="00FE1239">
        <w:lastRenderedPageBreak/>
        <w:t xml:space="preserve">Smiley, P. A., &amp; Dweck, C. S. (1994). Individual differences in achievement goals among young children. </w:t>
      </w:r>
      <w:r w:rsidRPr="00465959">
        <w:rPr>
          <w:i/>
        </w:rPr>
        <w:t>Child Development, 65</w:t>
      </w:r>
      <w:r>
        <w:t>(6)</w:t>
      </w:r>
      <w:r w:rsidRPr="00FE1239">
        <w:t xml:space="preserve">, 1723–1743. </w:t>
      </w:r>
      <w:hyperlink r:id="rId30" w:history="1">
        <w:r w:rsidRPr="00FE1239">
          <w:rPr>
            <w:rStyle w:val="Hiperhivatkozs"/>
          </w:rPr>
          <w:t>https://doi.org/10.2307/1131290</w:t>
        </w:r>
      </w:hyperlink>
    </w:p>
    <w:p w:rsidR="00E41334" w:rsidRPr="00FE1239" w:rsidRDefault="00E41334" w:rsidP="00E41334">
      <w:pPr>
        <w:pStyle w:val="References"/>
      </w:pPr>
      <w:r w:rsidRPr="00FE1239">
        <w:t>Wachs, T. D., &amp; Combs, T. T. (1995). The domains of infant mastery motivation. In R. H. MacTurk</w:t>
      </w:r>
      <w:r>
        <w:t>,</w:t>
      </w:r>
      <w:r w:rsidRPr="00FE1239">
        <w:t xml:space="preserve"> &amp; G. A. Morgan (</w:t>
      </w:r>
      <w:r>
        <w:t>Eds.</w:t>
      </w:r>
      <w:r w:rsidRPr="00FE1239">
        <w:t xml:space="preserve">), </w:t>
      </w:r>
      <w:r w:rsidRPr="0015516B">
        <w:rPr>
          <w:i/>
        </w:rPr>
        <w:t>Mastery motivation: Origins, conceptualizations, and application</w:t>
      </w:r>
      <w:r w:rsidRPr="00FE1239">
        <w:t xml:space="preserve"> (pp. 147–164). Norwood, NJ: Ablex.</w:t>
      </w:r>
    </w:p>
    <w:p w:rsidR="00E41334" w:rsidRPr="00FE1239" w:rsidRDefault="00E41334" w:rsidP="00E41334">
      <w:pPr>
        <w:pStyle w:val="References"/>
      </w:pPr>
      <w:r w:rsidRPr="00FE1239">
        <w:t xml:space="preserve">Wang, J., Morgan, G. A., &amp; Biringen, Z. (2014). Mother-infant affect exchange and mastery motivation in toddlerhood. </w:t>
      </w:r>
      <w:r w:rsidRPr="0015516B">
        <w:rPr>
          <w:i/>
        </w:rPr>
        <w:t>Infant and Child Development, 23</w:t>
      </w:r>
      <w:r>
        <w:t>(2)</w:t>
      </w:r>
      <w:r w:rsidRPr="00FE1239">
        <w:t xml:space="preserve">, 139–152. </w:t>
      </w:r>
      <w:hyperlink r:id="rId31" w:history="1">
        <w:r w:rsidRPr="00181AC4">
          <w:rPr>
            <w:rStyle w:val="Hiperhivatkozs"/>
          </w:rPr>
          <w:t>https://doi.org/10.1002/icd.1825</w:t>
        </w:r>
      </w:hyperlink>
    </w:p>
    <w:p w:rsidR="00E41334" w:rsidRPr="00FE1239" w:rsidRDefault="00E41334" w:rsidP="00E41334">
      <w:pPr>
        <w:pStyle w:val="References"/>
      </w:pPr>
      <w:r w:rsidRPr="00FE1239">
        <w:t xml:space="preserve">Wang, P.-J., Hwang, A.-W., Liao, H.-F., Chen, P.-C., &amp; Hsieh, W.-S. (2011). The stability of mastery motivation and its relationship with home environment in infants and </w:t>
      </w:r>
      <w:r w:rsidRPr="0015516B">
        <w:rPr>
          <w:i/>
        </w:rPr>
        <w:t>toddlers. Infant Behavior and Development, 34</w:t>
      </w:r>
      <w:r>
        <w:t>(3)</w:t>
      </w:r>
      <w:r w:rsidRPr="00FE1239">
        <w:t xml:space="preserve">, 434–442. </w:t>
      </w:r>
      <w:r w:rsidRPr="0015516B">
        <w:t>https://doi.org/10.1016/j.infbeh.2011.04.005</w:t>
      </w:r>
    </w:p>
    <w:p w:rsidR="00E41334" w:rsidRPr="00FE1239" w:rsidRDefault="00E41334" w:rsidP="00E41334">
      <w:pPr>
        <w:pStyle w:val="References"/>
      </w:pPr>
      <w:r w:rsidRPr="00FE1239">
        <w:t xml:space="preserve">Wang, P.-J., Liao, H.-F., &amp; Morgan, G. A. (2017). The Revised Individualized Moderately Challenging Mastery Tasks for 15 to 48 month-old children. </w:t>
      </w:r>
      <w:r w:rsidRPr="0015516B">
        <w:rPr>
          <w:i/>
        </w:rPr>
        <w:t>Hungarian Educational Research Journal, 7</w:t>
      </w:r>
      <w:r w:rsidRPr="00FE1239">
        <w:t xml:space="preserve">(2), </w:t>
      </w:r>
      <w:r>
        <w:t>68</w:t>
      </w:r>
      <w:r w:rsidRPr="00FE1239">
        <w:t>–8</w:t>
      </w:r>
      <w:r>
        <w:t>5</w:t>
      </w:r>
      <w:r w:rsidRPr="00FE1239">
        <w:t>.</w:t>
      </w:r>
    </w:p>
    <w:p w:rsidR="00E41334" w:rsidRPr="00FE1239" w:rsidRDefault="00E41334" w:rsidP="00E41334">
      <w:pPr>
        <w:pStyle w:val="References"/>
      </w:pPr>
      <w:r w:rsidRPr="00FE1239">
        <w:t xml:space="preserve">White, R. W. (1959). Motivation reconsidered: The concept of competence. </w:t>
      </w:r>
      <w:r w:rsidRPr="0015516B">
        <w:rPr>
          <w:i/>
        </w:rPr>
        <w:t>Psychological Review, 66</w:t>
      </w:r>
      <w:r>
        <w:t>(5)</w:t>
      </w:r>
      <w:r w:rsidRPr="00FE1239">
        <w:t xml:space="preserve">, 297–333. </w:t>
      </w:r>
      <w:hyperlink r:id="rId32" w:history="1">
        <w:r w:rsidRPr="00181AC4">
          <w:rPr>
            <w:rStyle w:val="Hiperhivatkozs"/>
          </w:rPr>
          <w:t>https://doi.org/10.1037/h0040934</w:t>
        </w:r>
      </w:hyperlink>
    </w:p>
    <w:p w:rsidR="00E41334" w:rsidRDefault="00E41334" w:rsidP="00E41334">
      <w:pPr>
        <w:pStyle w:val="References"/>
        <w:rPr>
          <w:rStyle w:val="Hiperhivatkozs"/>
        </w:rPr>
      </w:pPr>
      <w:r w:rsidRPr="00FE1239">
        <w:t xml:space="preserve">Yarrow, L. J., McQuiston, S., MacTurk, R. H., McCarthy, M. E., &amp; Vietze, P. M. (1983). Assessment of mastery motivation during the first year of life: Contemporaneous and cross-age relationships. </w:t>
      </w:r>
      <w:r w:rsidRPr="0015516B">
        <w:rPr>
          <w:i/>
        </w:rPr>
        <w:t>Developmental Psychology, 19</w:t>
      </w:r>
      <w:r>
        <w:t>(2)</w:t>
      </w:r>
      <w:r w:rsidRPr="00FE1239">
        <w:t xml:space="preserve">, 159–171. </w:t>
      </w:r>
      <w:hyperlink r:id="rId33" w:history="1">
        <w:r w:rsidRPr="00181AC4">
          <w:rPr>
            <w:rStyle w:val="Hiperhivatkozs"/>
          </w:rPr>
          <w:t>https://doi.org/10.1037//0012-1649.19.2.159</w:t>
        </w:r>
      </w:hyperlink>
    </w:p>
    <w:p w:rsidR="009E5C75" w:rsidRDefault="009E5C75"/>
    <w:sectPr w:rsidR="009E5C75" w:rsidSect="00E41334">
      <w:footerReference w:type="default" r:id="rId34"/>
      <w:pgSz w:w="11906" w:h="16838"/>
      <w:pgMar w:top="1417" w:right="1417" w:bottom="1417" w:left="1417" w:header="708" w:footer="708" w:gutter="0"/>
      <w:pgNumType w:start="1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1B6" w:rsidRDefault="00B411B6" w:rsidP="00E41334">
      <w:pPr>
        <w:spacing w:after="0" w:line="240" w:lineRule="auto"/>
      </w:pPr>
      <w:r>
        <w:separator/>
      </w:r>
    </w:p>
  </w:endnote>
  <w:endnote w:type="continuationSeparator" w:id="0">
    <w:p w:rsidR="00B411B6" w:rsidRDefault="00B411B6" w:rsidP="00E41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5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EE"/>
    <w:family w:val="swiss"/>
    <w:pitch w:val="variable"/>
    <w:sig w:usb0="E10022FF" w:usb1="C000E47F" w:usb2="00000029" w:usb3="00000000" w:csb0="000001DF" w:csb1="00000000"/>
  </w:font>
  <w:font w:name="Times">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 Sinmyeongjo">
    <w:altName w:val="Cambria"/>
    <w:panose1 w:val="00000000000000000000"/>
    <w:charset w:val="00"/>
    <w:family w:val="roman"/>
    <w:notTrueType/>
    <w:pitch w:val="default"/>
  </w:font>
  <w:font w:name="Consolas">
    <w:panose1 w:val="020B0609020204030204"/>
    <w:charset w:val="EE"/>
    <w:family w:val="modern"/>
    <w:pitch w:val="fixed"/>
    <w:sig w:usb0="E10002FF" w:usb1="4000FCFF" w:usb2="00000009" w:usb3="00000000" w:csb0="0000019F" w:csb1="00000000"/>
  </w:font>
  <w:font w:name="DFKai-SB">
    <w:panose1 w:val="03000509000000000000"/>
    <w:charset w:val="88"/>
    <w:family w:val="script"/>
    <w:pitch w:val="fixed"/>
    <w:sig w:usb0="00000003" w:usb1="080E0000" w:usb2="00000016" w:usb3="00000000" w:csb0="00100001" w:csb1="00000000"/>
  </w:font>
  <w:font w:name="Cambria Math">
    <w:panose1 w:val="02040503050406030204"/>
    <w:charset w:val="EE"/>
    <w:family w:val="roman"/>
    <w:pitch w:val="variable"/>
    <w:sig w:usb0="E00002FF" w:usb1="42002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0526561"/>
      <w:docPartObj>
        <w:docPartGallery w:val="Page Numbers (Bottom of Page)"/>
        <w:docPartUnique/>
      </w:docPartObj>
    </w:sdtPr>
    <w:sdtContent>
      <w:p w:rsidR="00E41334" w:rsidRDefault="00E41334">
        <w:pPr>
          <w:pStyle w:val="llb"/>
          <w:jc w:val="center"/>
        </w:pPr>
        <w:r>
          <w:fldChar w:fldCharType="begin"/>
        </w:r>
        <w:r>
          <w:instrText>PAGE   \* MERGEFORMAT</w:instrText>
        </w:r>
        <w:r>
          <w:fldChar w:fldCharType="separate"/>
        </w:r>
        <w:r>
          <w:rPr>
            <w:noProof/>
          </w:rPr>
          <w:t>16</w:t>
        </w:r>
        <w:r>
          <w:fldChar w:fldCharType="end"/>
        </w:r>
      </w:p>
    </w:sdtContent>
  </w:sdt>
  <w:p w:rsidR="00E41334" w:rsidRDefault="00E4133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1B6" w:rsidRDefault="00B411B6" w:rsidP="00E41334">
      <w:pPr>
        <w:spacing w:after="0" w:line="240" w:lineRule="auto"/>
      </w:pPr>
      <w:r>
        <w:separator/>
      </w:r>
    </w:p>
  </w:footnote>
  <w:footnote w:type="continuationSeparator" w:id="0">
    <w:p w:rsidR="00B411B6" w:rsidRDefault="00B411B6" w:rsidP="00E41334">
      <w:pPr>
        <w:spacing w:after="0" w:line="240" w:lineRule="auto"/>
      </w:pPr>
      <w:r>
        <w:continuationSeparator/>
      </w:r>
    </w:p>
  </w:footnote>
  <w:footnote w:id="1">
    <w:p w:rsidR="00E41334" w:rsidRPr="00E41334" w:rsidRDefault="00E41334" w:rsidP="00E41334">
      <w:pPr>
        <w:pStyle w:val="Footnote"/>
        <w:contextualSpacing/>
        <w:rPr>
          <w:sz w:val="18"/>
        </w:rPr>
      </w:pPr>
      <w:r w:rsidRPr="00E41334">
        <w:rPr>
          <w:rStyle w:val="Lbjegyzet-hivatkozs"/>
          <w:sz w:val="18"/>
        </w:rPr>
        <w:footnoteRef/>
      </w:r>
      <w:r w:rsidRPr="00E41334">
        <w:rPr>
          <w:sz w:val="18"/>
        </w:rPr>
        <w:t xml:space="preserve"> Fu Jen Catholic University, </w:t>
      </w:r>
      <w:r w:rsidRPr="00E41334">
        <w:rPr>
          <w:rFonts w:hint="eastAsia"/>
          <w:sz w:val="18"/>
        </w:rPr>
        <w:t>New Taipei</w:t>
      </w:r>
      <w:r w:rsidRPr="00E41334">
        <w:rPr>
          <w:sz w:val="18"/>
        </w:rPr>
        <w:t xml:space="preserve"> </w:t>
      </w:r>
      <w:r w:rsidRPr="00E41334">
        <w:rPr>
          <w:rFonts w:hint="eastAsia"/>
          <w:sz w:val="18"/>
        </w:rPr>
        <w:t>City</w:t>
      </w:r>
      <w:r w:rsidRPr="00E41334">
        <w:rPr>
          <w:sz w:val="18"/>
        </w:rPr>
        <w:t xml:space="preserve">, </w:t>
      </w:r>
      <w:r w:rsidRPr="00E41334">
        <w:rPr>
          <w:rFonts w:hint="eastAsia"/>
          <w:sz w:val="18"/>
        </w:rPr>
        <w:t>Taiwan</w:t>
      </w:r>
      <w:r w:rsidRPr="00E41334">
        <w:rPr>
          <w:sz w:val="18"/>
        </w:rPr>
        <w:t xml:space="preserve">, </w:t>
      </w:r>
      <w:hyperlink r:id="rId1" w:history="1">
        <w:r w:rsidRPr="00E41334">
          <w:rPr>
            <w:sz w:val="18"/>
          </w:rPr>
          <w:t>095466@mail.fju.edu.tw</w:t>
        </w:r>
      </w:hyperlink>
      <w:r w:rsidRPr="00E41334">
        <w:rPr>
          <w:sz w:val="18"/>
        </w:rPr>
        <w:t>, ORCID 0000-0001-8303-0181</w:t>
      </w:r>
    </w:p>
  </w:footnote>
  <w:footnote w:id="2">
    <w:p w:rsidR="00E41334" w:rsidRPr="00E41334" w:rsidRDefault="00E41334" w:rsidP="00E41334">
      <w:pPr>
        <w:pStyle w:val="Footnote"/>
        <w:contextualSpacing/>
        <w:rPr>
          <w:sz w:val="18"/>
        </w:rPr>
      </w:pPr>
      <w:r w:rsidRPr="00E41334">
        <w:rPr>
          <w:rStyle w:val="Lbjegyzet-hivatkozs"/>
          <w:sz w:val="18"/>
        </w:rPr>
        <w:footnoteRef/>
      </w:r>
      <w:r w:rsidRPr="00E41334">
        <w:rPr>
          <w:sz w:val="18"/>
        </w:rPr>
        <w:t xml:space="preserve"> National Taiwan University, </w:t>
      </w:r>
      <w:r w:rsidRPr="00E41334">
        <w:rPr>
          <w:rFonts w:hint="eastAsia"/>
          <w:sz w:val="18"/>
        </w:rPr>
        <w:t>Taipei</w:t>
      </w:r>
      <w:r w:rsidRPr="00E41334">
        <w:rPr>
          <w:sz w:val="18"/>
        </w:rPr>
        <w:t xml:space="preserve">, </w:t>
      </w:r>
      <w:r w:rsidRPr="00E41334">
        <w:rPr>
          <w:rFonts w:hint="eastAsia"/>
          <w:sz w:val="18"/>
        </w:rPr>
        <w:t>Taiwan</w:t>
      </w:r>
      <w:r w:rsidRPr="00E41334">
        <w:rPr>
          <w:sz w:val="18"/>
        </w:rPr>
        <w:t xml:space="preserve">, </w:t>
      </w:r>
      <w:hyperlink r:id="rId2" w:history="1">
        <w:r w:rsidRPr="00E41334">
          <w:rPr>
            <w:sz w:val="18"/>
          </w:rPr>
          <w:t>kllay@ntu.edu.tw</w:t>
        </w:r>
      </w:hyperlink>
      <w:r w:rsidRPr="00E41334">
        <w:rPr>
          <w:sz w:val="18"/>
        </w:rPr>
        <w:t>, ORCID 0000-0002-3939-8664 (corresponding author)</w:t>
      </w:r>
    </w:p>
    <w:p w:rsidR="00E41334" w:rsidRPr="00E41334" w:rsidRDefault="00E41334" w:rsidP="00E41334">
      <w:pPr>
        <w:pStyle w:val="Footnote"/>
        <w:contextualSpacing/>
        <w:rPr>
          <w:sz w:val="18"/>
        </w:rPr>
      </w:pPr>
    </w:p>
    <w:p w:rsidR="00E41334" w:rsidRPr="00C22A67" w:rsidRDefault="00E41334" w:rsidP="00E41334">
      <w:pPr>
        <w:pStyle w:val="Affiliation"/>
        <w:rPr>
          <w:highlight w:val="yellow"/>
        </w:rPr>
      </w:pPr>
      <w:r w:rsidRPr="00CE31E7">
        <w:t xml:space="preserve">Recommended citation format: </w:t>
      </w:r>
      <w:r>
        <w:t>Huang, S.-Y., &amp; Lay, K.-L.</w:t>
      </w:r>
      <w:r w:rsidRPr="001039AF">
        <w:t xml:space="preserve"> (2017). </w:t>
      </w:r>
      <w:r w:rsidRPr="00CE06EE">
        <w:t>Mastery motivation in infancy and early childhood: the consistency and variation of its stability and predictability of general competence</w:t>
      </w:r>
      <w:r w:rsidRPr="001039AF">
        <w:t xml:space="preserve">. </w:t>
      </w:r>
      <w:r w:rsidRPr="00CE766E">
        <w:rPr>
          <w:i/>
        </w:rPr>
        <w:t>Hungarian Educational Research Journal, 7</w:t>
      </w:r>
      <w:r w:rsidRPr="00CE31E7">
        <w:t xml:space="preserve">(2), </w:t>
      </w:r>
      <w:r>
        <w:t>15</w:t>
      </w:r>
      <w:r>
        <w:rPr>
          <w:rFonts w:ascii="Times New Roman" w:hAnsi="Times New Roman"/>
        </w:rPr>
        <w:t>‒</w:t>
      </w:r>
      <w:r>
        <w:t>31.</w:t>
      </w:r>
      <w:r w:rsidRPr="00CE31E7">
        <w:t xml:space="preserve"> </w:t>
      </w:r>
      <w:r>
        <w:rPr>
          <w:rFonts w:cs="Calibri"/>
        </w:rPr>
        <w:t>doi:</w:t>
      </w:r>
      <w:r w:rsidRPr="00FF7659">
        <w:rPr>
          <w:rFonts w:cs="Calibri"/>
        </w:rPr>
        <w:t>10.14413/</w:t>
      </w:r>
      <w:r>
        <w:rPr>
          <w:rFonts w:cs="Calibri"/>
        </w:rPr>
        <w:t>HERJ/7/2/2</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809AA"/>
    <w:multiLevelType w:val="hybridMultilevel"/>
    <w:tmpl w:val="DC96F734"/>
    <w:styleLink w:val="5importltstlus"/>
    <w:lvl w:ilvl="0" w:tplc="48624FC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10C3E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15CEE53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A4C42B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555C35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C217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0EEF0D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C2781E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5060D9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 w15:restartNumberingAfterBreak="0">
    <w:nsid w:val="0812556A"/>
    <w:multiLevelType w:val="hybridMultilevel"/>
    <w:tmpl w:val="2AB2485C"/>
    <w:lvl w:ilvl="0" w:tplc="0330B134">
      <w:start w:val="1"/>
      <w:numFmt w:val="bullet"/>
      <w:lvlText w:val=""/>
      <w:lvlJc w:val="left"/>
      <w:pPr>
        <w:ind w:left="1069"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16821"/>
    <w:multiLevelType w:val="hybridMultilevel"/>
    <w:tmpl w:val="F4784194"/>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890C12"/>
    <w:multiLevelType w:val="hybridMultilevel"/>
    <w:tmpl w:val="8E9A3962"/>
    <w:lvl w:ilvl="0" w:tplc="0330B134">
      <w:start w:val="1"/>
      <w:numFmt w:val="bullet"/>
      <w:lvlText w:val=""/>
      <w:lvlJc w:val="left"/>
      <w:pPr>
        <w:ind w:left="905" w:hanging="48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66062"/>
    <w:multiLevelType w:val="singleLevel"/>
    <w:tmpl w:val="AF32834C"/>
    <w:lvl w:ilvl="0">
      <w:start w:val="1"/>
      <w:numFmt w:val="bullet"/>
      <w:pStyle w:val="BulletItem"/>
      <w:lvlText w:val=""/>
      <w:lvlJc w:val="left"/>
      <w:pPr>
        <w:tabs>
          <w:tab w:val="num" w:pos="794"/>
        </w:tabs>
        <w:ind w:left="794" w:hanging="397"/>
      </w:pPr>
      <w:rPr>
        <w:rFonts w:ascii="Symbol" w:hAnsi="Symbol" w:cs="Times New Roman" w:hint="default"/>
      </w:rPr>
    </w:lvl>
  </w:abstractNum>
  <w:abstractNum w:abstractNumId="5" w15:restartNumberingAfterBreak="0">
    <w:nsid w:val="0AD12E91"/>
    <w:multiLevelType w:val="hybridMultilevel"/>
    <w:tmpl w:val="3F589332"/>
    <w:styleLink w:val="2importltstlus"/>
    <w:lvl w:ilvl="0" w:tplc="8F5AE9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2B3AAC4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E18A2162">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1398F86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FA8677B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342CD6">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9A2E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AFA0F9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436BED8">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6" w15:restartNumberingAfterBreak="0">
    <w:nsid w:val="0C170F63"/>
    <w:multiLevelType w:val="hybridMultilevel"/>
    <w:tmpl w:val="0D5C0176"/>
    <w:styleLink w:val="4importltstlus"/>
    <w:lvl w:ilvl="0" w:tplc="844CC5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CA303D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C5CCB18E">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29A64BB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4E8A5A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6E0A0BBC">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42FAF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DEEED7B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FA41E22">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7" w15:restartNumberingAfterBreak="0">
    <w:nsid w:val="0E2B3C7D"/>
    <w:multiLevelType w:val="hybridMultilevel"/>
    <w:tmpl w:val="78B8C81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0EFF7648"/>
    <w:multiLevelType w:val="hybridMultilevel"/>
    <w:tmpl w:val="F86A855C"/>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9" w15:restartNumberingAfterBreak="0">
    <w:nsid w:val="1213095C"/>
    <w:multiLevelType w:val="hybridMultilevel"/>
    <w:tmpl w:val="767005B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1617179E"/>
    <w:multiLevelType w:val="hybridMultilevel"/>
    <w:tmpl w:val="0F5EE0A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161B2F2A"/>
    <w:multiLevelType w:val="multilevel"/>
    <w:tmpl w:val="59545B48"/>
    <w:lvl w:ilvl="0">
      <w:start w:val="1"/>
      <w:numFmt w:val="bullet"/>
      <w:lvlText w:val=""/>
      <w:lvlJc w:val="left"/>
      <w:pPr>
        <w:ind w:left="720" w:hanging="360"/>
      </w:pPr>
      <w:rPr>
        <w:rFonts w:ascii="Wingdings 2" w:hAnsi="Wingdings 2"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2" w15:restartNumberingAfterBreak="0">
    <w:nsid w:val="192312DE"/>
    <w:multiLevelType w:val="hybridMultilevel"/>
    <w:tmpl w:val="0E762BB8"/>
    <w:lvl w:ilvl="0" w:tplc="7414A1C0">
      <w:start w:val="1"/>
      <w:numFmt w:val="bullet"/>
      <w:lvlText w:val=""/>
      <w:lvlJc w:val="righ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D4E0308"/>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3164D5B"/>
    <w:multiLevelType w:val="hybridMultilevel"/>
    <w:tmpl w:val="D08E658E"/>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25E50DE9"/>
    <w:multiLevelType w:val="hybridMultilevel"/>
    <w:tmpl w:val="90348202"/>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6" w15:restartNumberingAfterBreak="0">
    <w:nsid w:val="30B37059"/>
    <w:multiLevelType w:val="hybridMultilevel"/>
    <w:tmpl w:val="CA1AD108"/>
    <w:styleLink w:val="7importltstlus"/>
    <w:lvl w:ilvl="0" w:tplc="9E62BE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780825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5FD612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B563A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3A682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2EBA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FF1C6A7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F350FA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8D22D0E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7" w15:restartNumberingAfterBreak="0">
    <w:nsid w:val="384851E3"/>
    <w:multiLevelType w:val="hybridMultilevel"/>
    <w:tmpl w:val="6AD2851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39BB0931"/>
    <w:multiLevelType w:val="hybridMultilevel"/>
    <w:tmpl w:val="B0ECFC82"/>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9" w15:restartNumberingAfterBreak="0">
    <w:nsid w:val="39FC4806"/>
    <w:multiLevelType w:val="hybridMultilevel"/>
    <w:tmpl w:val="BA920DD8"/>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0" w15:restartNumberingAfterBreak="0">
    <w:nsid w:val="41952693"/>
    <w:multiLevelType w:val="singleLevel"/>
    <w:tmpl w:val="B5F61D8C"/>
    <w:lvl w:ilvl="0">
      <w:start w:val="1"/>
      <w:numFmt w:val="decimal"/>
      <w:pStyle w:val="ReferenceItem"/>
      <w:lvlText w:val="%1."/>
      <w:lvlJc w:val="left"/>
      <w:pPr>
        <w:tabs>
          <w:tab w:val="num" w:pos="360"/>
        </w:tabs>
        <w:ind w:left="360" w:hanging="360"/>
      </w:pPr>
    </w:lvl>
  </w:abstractNum>
  <w:abstractNum w:abstractNumId="21" w15:restartNumberingAfterBreak="0">
    <w:nsid w:val="419814DD"/>
    <w:multiLevelType w:val="hybridMultilevel"/>
    <w:tmpl w:val="719E2DAC"/>
    <w:lvl w:ilvl="0" w:tplc="8CC623E8">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2" w15:restartNumberingAfterBreak="0">
    <w:nsid w:val="46CB19A8"/>
    <w:multiLevelType w:val="hybridMultilevel"/>
    <w:tmpl w:val="ECD07C2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3" w15:restartNumberingAfterBreak="0">
    <w:nsid w:val="46EB77C3"/>
    <w:multiLevelType w:val="hybridMultilevel"/>
    <w:tmpl w:val="A86A5F68"/>
    <w:styleLink w:val="3importltstlus"/>
    <w:lvl w:ilvl="0" w:tplc="7838895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1" w:tplc="E18EC284">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EED2871C">
      <w:start w:val="1"/>
      <w:numFmt w:val="bullet"/>
      <w:lvlText w:val="▪"/>
      <w:lvlJc w:val="left"/>
      <w:pPr>
        <w:tabs>
          <w:tab w:val="left" w:pos="720"/>
        </w:tabs>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B1825770">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4" w:tplc="D96CB55E">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4F7A7FF6">
      <w:start w:val="1"/>
      <w:numFmt w:val="bullet"/>
      <w:lvlText w:val="▪"/>
      <w:lvlJc w:val="left"/>
      <w:pPr>
        <w:tabs>
          <w:tab w:val="left" w:pos="720"/>
        </w:tabs>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34001B0">
      <w:start w:val="1"/>
      <w:numFmt w:val="bullet"/>
      <w:lvlText w:val="▪"/>
      <w:lvlJc w:val="left"/>
      <w:pPr>
        <w:tabs>
          <w:tab w:val="left" w:pos="720"/>
        </w:tabs>
        <w:ind w:left="46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7" w:tplc="1F60EB68">
      <w:start w:val="1"/>
      <w:numFmt w:val="bullet"/>
      <w:lvlText w:val="▪"/>
      <w:lvlJc w:val="left"/>
      <w:pPr>
        <w:tabs>
          <w:tab w:val="left" w:pos="720"/>
        </w:tabs>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B08A1BFE">
      <w:start w:val="1"/>
      <w:numFmt w:val="bullet"/>
      <w:lvlText w:val="▪"/>
      <w:lvlJc w:val="left"/>
      <w:pPr>
        <w:tabs>
          <w:tab w:val="left" w:pos="720"/>
        </w:tabs>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4"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FD55186"/>
    <w:multiLevelType w:val="hybridMultilevel"/>
    <w:tmpl w:val="747293B6"/>
    <w:lvl w:ilvl="0" w:tplc="040E0001">
      <w:start w:val="1"/>
      <w:numFmt w:val="bullet"/>
      <w:lvlText w:val=""/>
      <w:lvlJc w:val="left"/>
      <w:pPr>
        <w:ind w:left="1560" w:hanging="360"/>
      </w:pPr>
      <w:rPr>
        <w:rFonts w:ascii="Symbol" w:hAnsi="Symbol" w:hint="default"/>
      </w:rPr>
    </w:lvl>
    <w:lvl w:ilvl="1" w:tplc="040E0003" w:tentative="1">
      <w:start w:val="1"/>
      <w:numFmt w:val="bullet"/>
      <w:lvlText w:val="o"/>
      <w:lvlJc w:val="left"/>
      <w:pPr>
        <w:ind w:left="2280" w:hanging="360"/>
      </w:pPr>
      <w:rPr>
        <w:rFonts w:ascii="Courier New" w:hAnsi="Courier New" w:cs="Courier New" w:hint="default"/>
      </w:rPr>
    </w:lvl>
    <w:lvl w:ilvl="2" w:tplc="040E0005" w:tentative="1">
      <w:start w:val="1"/>
      <w:numFmt w:val="bullet"/>
      <w:lvlText w:val=""/>
      <w:lvlJc w:val="left"/>
      <w:pPr>
        <w:ind w:left="3000" w:hanging="360"/>
      </w:pPr>
      <w:rPr>
        <w:rFonts w:ascii="Wingdings" w:hAnsi="Wingdings" w:hint="default"/>
      </w:rPr>
    </w:lvl>
    <w:lvl w:ilvl="3" w:tplc="040E0001" w:tentative="1">
      <w:start w:val="1"/>
      <w:numFmt w:val="bullet"/>
      <w:lvlText w:val=""/>
      <w:lvlJc w:val="left"/>
      <w:pPr>
        <w:ind w:left="3720" w:hanging="360"/>
      </w:pPr>
      <w:rPr>
        <w:rFonts w:ascii="Symbol" w:hAnsi="Symbol" w:hint="default"/>
      </w:rPr>
    </w:lvl>
    <w:lvl w:ilvl="4" w:tplc="040E0003" w:tentative="1">
      <w:start w:val="1"/>
      <w:numFmt w:val="bullet"/>
      <w:lvlText w:val="o"/>
      <w:lvlJc w:val="left"/>
      <w:pPr>
        <w:ind w:left="4440" w:hanging="360"/>
      </w:pPr>
      <w:rPr>
        <w:rFonts w:ascii="Courier New" w:hAnsi="Courier New" w:cs="Courier New" w:hint="default"/>
      </w:rPr>
    </w:lvl>
    <w:lvl w:ilvl="5" w:tplc="040E0005" w:tentative="1">
      <w:start w:val="1"/>
      <w:numFmt w:val="bullet"/>
      <w:lvlText w:val=""/>
      <w:lvlJc w:val="left"/>
      <w:pPr>
        <w:ind w:left="5160" w:hanging="360"/>
      </w:pPr>
      <w:rPr>
        <w:rFonts w:ascii="Wingdings" w:hAnsi="Wingdings" w:hint="default"/>
      </w:rPr>
    </w:lvl>
    <w:lvl w:ilvl="6" w:tplc="040E0001" w:tentative="1">
      <w:start w:val="1"/>
      <w:numFmt w:val="bullet"/>
      <w:lvlText w:val=""/>
      <w:lvlJc w:val="left"/>
      <w:pPr>
        <w:ind w:left="5880" w:hanging="360"/>
      </w:pPr>
      <w:rPr>
        <w:rFonts w:ascii="Symbol" w:hAnsi="Symbol" w:hint="default"/>
      </w:rPr>
    </w:lvl>
    <w:lvl w:ilvl="7" w:tplc="040E0003" w:tentative="1">
      <w:start w:val="1"/>
      <w:numFmt w:val="bullet"/>
      <w:lvlText w:val="o"/>
      <w:lvlJc w:val="left"/>
      <w:pPr>
        <w:ind w:left="6600" w:hanging="360"/>
      </w:pPr>
      <w:rPr>
        <w:rFonts w:ascii="Courier New" w:hAnsi="Courier New" w:cs="Courier New" w:hint="default"/>
      </w:rPr>
    </w:lvl>
    <w:lvl w:ilvl="8" w:tplc="040E0005" w:tentative="1">
      <w:start w:val="1"/>
      <w:numFmt w:val="bullet"/>
      <w:lvlText w:val=""/>
      <w:lvlJc w:val="left"/>
      <w:pPr>
        <w:ind w:left="7320" w:hanging="360"/>
      </w:pPr>
      <w:rPr>
        <w:rFonts w:ascii="Wingdings" w:hAnsi="Wingdings" w:hint="default"/>
      </w:rPr>
    </w:lvl>
  </w:abstractNum>
  <w:abstractNum w:abstractNumId="26" w15:restartNumberingAfterBreak="0">
    <w:nsid w:val="555276CE"/>
    <w:multiLevelType w:val="hybridMultilevel"/>
    <w:tmpl w:val="41FE1AC8"/>
    <w:styleLink w:val="6importltstlus"/>
    <w:lvl w:ilvl="0" w:tplc="EE7822E4">
      <w:start w:val="1"/>
      <w:numFmt w:val="bullet"/>
      <w:lvlText w:val="•"/>
      <w:lvlJc w:val="left"/>
      <w:pPr>
        <w:ind w:left="75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098E712">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32D0DFDA">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3C166610">
      <w:start w:val="1"/>
      <w:numFmt w:val="bullet"/>
      <w:lvlText w:val="•"/>
      <w:lvlJc w:val="left"/>
      <w:pPr>
        <w:ind w:left="291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DED41978">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88FCCE20">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191CCF82">
      <w:start w:val="1"/>
      <w:numFmt w:val="bullet"/>
      <w:lvlText w:val="•"/>
      <w:lvlJc w:val="left"/>
      <w:pPr>
        <w:ind w:left="507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505AE7B2">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4FD62F78">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7" w15:restartNumberingAfterBreak="0">
    <w:nsid w:val="55EF69CE"/>
    <w:multiLevelType w:val="hybridMultilevel"/>
    <w:tmpl w:val="9B940B9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DE275D8"/>
    <w:multiLevelType w:val="singleLevel"/>
    <w:tmpl w:val="3774B7E2"/>
    <w:lvl w:ilvl="0">
      <w:start w:val="1"/>
      <w:numFmt w:val="decimal"/>
      <w:pStyle w:val="NumberedItem"/>
      <w:lvlText w:val="%1."/>
      <w:lvlJc w:val="left"/>
      <w:pPr>
        <w:tabs>
          <w:tab w:val="num" w:pos="794"/>
        </w:tabs>
        <w:ind w:left="794" w:hanging="397"/>
      </w:pPr>
      <w:rPr>
        <w:rFonts w:ascii="Times New Roman" w:hAnsi="Times New Roman" w:cs="Times New Roman" w:hint="default"/>
        <w:sz w:val="20"/>
        <w:szCs w:val="22"/>
      </w:rPr>
    </w:lvl>
  </w:abstractNum>
  <w:abstractNum w:abstractNumId="29" w15:restartNumberingAfterBreak="0">
    <w:nsid w:val="61375533"/>
    <w:multiLevelType w:val="hybridMultilevel"/>
    <w:tmpl w:val="8962DDEE"/>
    <w:styleLink w:val="1importltstlus"/>
    <w:lvl w:ilvl="0" w:tplc="76F2A65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1A1853D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AB5C5348">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599085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EC3C388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F03522">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E806B5E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8EB675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95A6785C">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30" w15:restartNumberingAfterBreak="0">
    <w:nsid w:val="67672C23"/>
    <w:multiLevelType w:val="hybridMultilevel"/>
    <w:tmpl w:val="138072FA"/>
    <w:lvl w:ilvl="0" w:tplc="0330B13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6816C5"/>
    <w:multiLevelType w:val="hybridMultilevel"/>
    <w:tmpl w:val="63BA707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2" w15:restartNumberingAfterBreak="0">
    <w:nsid w:val="69A95206"/>
    <w:multiLevelType w:val="hybridMultilevel"/>
    <w:tmpl w:val="FB5A3A1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AA757C0"/>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DB209D9"/>
    <w:multiLevelType w:val="hybridMultilevel"/>
    <w:tmpl w:val="0B6CB368"/>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15:restartNumberingAfterBreak="0">
    <w:nsid w:val="6E6C656A"/>
    <w:multiLevelType w:val="hybridMultilevel"/>
    <w:tmpl w:val="6FCA1B20"/>
    <w:lvl w:ilvl="0" w:tplc="1532A678">
      <w:start w:val="1"/>
      <w:numFmt w:val="decimal"/>
      <w:lvlText w:val="%1."/>
      <w:lvlJc w:val="left"/>
      <w:pPr>
        <w:ind w:left="720" w:hanging="360"/>
      </w:pPr>
      <w:rPr>
        <w:rFonts w:ascii="Cambria" w:eastAsia="SimSu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116315"/>
    <w:multiLevelType w:val="hybridMultilevel"/>
    <w:tmpl w:val="F0AA674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7" w15:restartNumberingAfterBreak="0">
    <w:nsid w:val="72DF3141"/>
    <w:multiLevelType w:val="hybridMultilevel"/>
    <w:tmpl w:val="F558CB4A"/>
    <w:lvl w:ilvl="0" w:tplc="69DC7DE2">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8" w15:restartNumberingAfterBreak="0">
    <w:nsid w:val="743739D4"/>
    <w:multiLevelType w:val="hybridMultilevel"/>
    <w:tmpl w:val="A878B150"/>
    <w:lvl w:ilvl="0" w:tplc="16D06DCC">
      <w:start w:val="1"/>
      <w:numFmt w:val="decimal"/>
      <w:lvlText w:val="%1)"/>
      <w:lvlJc w:val="left"/>
      <w:pPr>
        <w:ind w:left="720" w:hanging="360"/>
      </w:pPr>
      <w:rPr>
        <w:rFonts w:eastAsia="SimSu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15:restartNumberingAfterBreak="0">
    <w:nsid w:val="76A44B6E"/>
    <w:multiLevelType w:val="hybridMultilevel"/>
    <w:tmpl w:val="F858D01E"/>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0" w15:restartNumberingAfterBreak="0">
    <w:nsid w:val="7B3A453E"/>
    <w:multiLevelType w:val="hybridMultilevel"/>
    <w:tmpl w:val="277053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4"/>
  </w:num>
  <w:num w:numId="2">
    <w:abstractNumId w:val="41"/>
  </w:num>
  <w:num w:numId="3">
    <w:abstractNumId w:val="24"/>
  </w:num>
  <w:num w:numId="4">
    <w:abstractNumId w:val="20"/>
  </w:num>
  <w:num w:numId="5">
    <w:abstractNumId w:val="4"/>
  </w:num>
  <w:num w:numId="6">
    <w:abstractNumId w:val="28"/>
  </w:num>
  <w:num w:numId="7">
    <w:abstractNumId w:val="0"/>
  </w:num>
  <w:num w:numId="8">
    <w:abstractNumId w:val="5"/>
  </w:num>
  <w:num w:numId="9">
    <w:abstractNumId w:val="6"/>
  </w:num>
  <w:num w:numId="10">
    <w:abstractNumId w:val="16"/>
  </w:num>
  <w:num w:numId="11">
    <w:abstractNumId w:val="23"/>
  </w:num>
  <w:num w:numId="12">
    <w:abstractNumId w:val="26"/>
  </w:num>
  <w:num w:numId="13">
    <w:abstractNumId w:val="29"/>
  </w:num>
  <w:num w:numId="14">
    <w:abstractNumId w:val="15"/>
  </w:num>
  <w:num w:numId="15">
    <w:abstractNumId w:val="8"/>
  </w:num>
  <w:num w:numId="16">
    <w:abstractNumId w:val="19"/>
  </w:num>
  <w:num w:numId="17">
    <w:abstractNumId w:val="32"/>
  </w:num>
  <w:num w:numId="18">
    <w:abstractNumId w:val="30"/>
  </w:num>
  <w:num w:numId="19">
    <w:abstractNumId w:val="3"/>
  </w:num>
  <w:num w:numId="20">
    <w:abstractNumId w:val="1"/>
  </w:num>
  <w:num w:numId="21">
    <w:abstractNumId w:val="10"/>
  </w:num>
  <w:num w:numId="22">
    <w:abstractNumId w:val="2"/>
  </w:num>
  <w:num w:numId="23">
    <w:abstractNumId w:val="38"/>
  </w:num>
  <w:num w:numId="24">
    <w:abstractNumId w:val="33"/>
  </w:num>
  <w:num w:numId="25">
    <w:abstractNumId w:val="25"/>
  </w:num>
  <w:num w:numId="26">
    <w:abstractNumId w:val="12"/>
  </w:num>
  <w:num w:numId="27">
    <w:abstractNumId w:val="11"/>
  </w:num>
  <w:num w:numId="28">
    <w:abstractNumId w:val="21"/>
  </w:num>
  <w:num w:numId="29">
    <w:abstractNumId w:val="37"/>
  </w:num>
  <w:num w:numId="30">
    <w:abstractNumId w:val="27"/>
  </w:num>
  <w:num w:numId="31">
    <w:abstractNumId w:val="40"/>
  </w:num>
  <w:num w:numId="32">
    <w:abstractNumId w:val="35"/>
  </w:num>
  <w:num w:numId="33">
    <w:abstractNumId w:val="34"/>
  </w:num>
  <w:num w:numId="34">
    <w:abstractNumId w:val="9"/>
  </w:num>
  <w:num w:numId="35">
    <w:abstractNumId w:val="22"/>
  </w:num>
  <w:num w:numId="36">
    <w:abstractNumId w:val="31"/>
  </w:num>
  <w:num w:numId="37">
    <w:abstractNumId w:val="14"/>
  </w:num>
  <w:num w:numId="38">
    <w:abstractNumId w:val="36"/>
  </w:num>
  <w:num w:numId="39">
    <w:abstractNumId w:val="18"/>
  </w:num>
  <w:num w:numId="40">
    <w:abstractNumId w:val="17"/>
  </w:num>
  <w:num w:numId="41">
    <w:abstractNumId w:val="7"/>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334"/>
    <w:rsid w:val="002B48DC"/>
    <w:rsid w:val="003A2B83"/>
    <w:rsid w:val="00475387"/>
    <w:rsid w:val="00526CF3"/>
    <w:rsid w:val="005B15DB"/>
    <w:rsid w:val="006A0266"/>
    <w:rsid w:val="006B0084"/>
    <w:rsid w:val="00853734"/>
    <w:rsid w:val="009C16F4"/>
    <w:rsid w:val="009E5C75"/>
    <w:rsid w:val="009F0AD9"/>
    <w:rsid w:val="00A42CB8"/>
    <w:rsid w:val="00AF5B0A"/>
    <w:rsid w:val="00B411B6"/>
    <w:rsid w:val="00B80ED0"/>
    <w:rsid w:val="00C36F85"/>
    <w:rsid w:val="00C95416"/>
    <w:rsid w:val="00D0257B"/>
    <w:rsid w:val="00D458D3"/>
    <w:rsid w:val="00E4133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E42FE9E-8CFB-4365-B2CA-F88420A27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41334"/>
    <w:rPr>
      <w:rFonts w:ascii="Calibri" w:eastAsia="PMingLiU" w:hAnsi="Calibri" w:cs="Times New Roman"/>
    </w:rPr>
  </w:style>
  <w:style w:type="paragraph" w:styleId="Cmsor1">
    <w:name w:val="heading 1"/>
    <w:basedOn w:val="Norml"/>
    <w:next w:val="Norml"/>
    <w:link w:val="Cmsor1Char"/>
    <w:uiPriority w:val="1"/>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1"/>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1"/>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link w:val="NormlWebChar"/>
    <w:uiPriority w:val="99"/>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1"/>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1"/>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1"/>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99"/>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customStyle="1" w:styleId="apple-tab-span">
    <w:name w:val="apple-tab-span"/>
    <w:basedOn w:val="Bekezdsalapbettpusa"/>
    <w:rsid w:val="00E41334"/>
  </w:style>
  <w:style w:type="paragraph" w:customStyle="1" w:styleId="Norml1">
    <w:name w:val="Normál1"/>
    <w:link w:val="normalChar"/>
    <w:rsid w:val="00E41334"/>
    <w:pPr>
      <w:spacing w:after="0" w:line="276" w:lineRule="auto"/>
    </w:pPr>
    <w:rPr>
      <w:rFonts w:ascii="Arial" w:eastAsia="Arial" w:hAnsi="Arial" w:cs="Arial"/>
      <w:color w:val="000000"/>
      <w:lang w:eastAsia="hu-HU"/>
    </w:rPr>
  </w:style>
  <w:style w:type="character" w:customStyle="1" w:styleId="normalChar">
    <w:name w:val="normal Char"/>
    <w:link w:val="Norml1"/>
    <w:rsid w:val="00E41334"/>
    <w:rPr>
      <w:rFonts w:ascii="Arial" w:eastAsia="Arial" w:hAnsi="Arial" w:cs="Arial"/>
      <w:color w:val="000000"/>
      <w:lang w:eastAsia="hu-HU"/>
    </w:rPr>
  </w:style>
  <w:style w:type="paragraph" w:customStyle="1" w:styleId="SectionTitle0">
    <w:name w:val="Section Title"/>
    <w:basedOn w:val="Norml1"/>
    <w:link w:val="SectionTitleChar0"/>
    <w:rsid w:val="00E41334"/>
    <w:pPr>
      <w:spacing w:before="360" w:after="240" w:line="240" w:lineRule="auto"/>
    </w:pPr>
    <w:rPr>
      <w:rFonts w:ascii="Cambria" w:eastAsia="Cambria" w:hAnsi="Cambria" w:cs="Cambria"/>
      <w:b/>
      <w:sz w:val="24"/>
    </w:rPr>
  </w:style>
  <w:style w:type="character" w:customStyle="1" w:styleId="SectionTitleChar0">
    <w:name w:val="Section Title Char"/>
    <w:link w:val="SectionTitle0"/>
    <w:rsid w:val="00E41334"/>
    <w:rPr>
      <w:rFonts w:ascii="Cambria" w:eastAsia="Cambria" w:hAnsi="Cambria" w:cs="Cambria"/>
      <w:b/>
      <w:color w:val="000000"/>
      <w:sz w:val="24"/>
      <w:lang w:eastAsia="hu-HU"/>
    </w:rPr>
  </w:style>
  <w:style w:type="paragraph" w:styleId="Lbjegyzetszveg">
    <w:name w:val="footnote text"/>
    <w:basedOn w:val="Norml"/>
    <w:link w:val="LbjegyzetszvegChar"/>
    <w:unhideWhenUsed/>
    <w:rsid w:val="00E41334"/>
    <w:pPr>
      <w:spacing w:after="0" w:line="240" w:lineRule="auto"/>
    </w:pPr>
    <w:rPr>
      <w:rFonts w:ascii="Arial" w:eastAsia="Arial" w:hAnsi="Arial" w:cs="Arial"/>
      <w:color w:val="000000"/>
      <w:sz w:val="20"/>
      <w:szCs w:val="20"/>
      <w:lang w:eastAsia="hu-HU"/>
    </w:rPr>
  </w:style>
  <w:style w:type="character" w:customStyle="1" w:styleId="LbjegyzetszvegChar">
    <w:name w:val="Lábjegyzetszöveg Char"/>
    <w:basedOn w:val="Bekezdsalapbettpusa"/>
    <w:link w:val="Lbjegyzetszveg"/>
    <w:rsid w:val="00E41334"/>
    <w:rPr>
      <w:rFonts w:ascii="Arial" w:eastAsia="Arial" w:hAnsi="Arial" w:cs="Arial"/>
      <w:color w:val="000000"/>
      <w:sz w:val="20"/>
      <w:szCs w:val="20"/>
      <w:lang w:eastAsia="hu-HU"/>
    </w:rPr>
  </w:style>
  <w:style w:type="character" w:styleId="Lbjegyzet-hivatkozs">
    <w:name w:val="footnote reference"/>
    <w:unhideWhenUsed/>
    <w:rsid w:val="00E41334"/>
    <w:rPr>
      <w:vertAlign w:val="superscript"/>
    </w:rPr>
  </w:style>
  <w:style w:type="character" w:styleId="Hiperhivatkozs">
    <w:name w:val="Hyperlink"/>
    <w:uiPriority w:val="99"/>
    <w:unhideWhenUsed/>
    <w:rsid w:val="00E41334"/>
    <w:rPr>
      <w:color w:val="0563C1"/>
      <w:u w:val="single"/>
    </w:rPr>
  </w:style>
  <w:style w:type="character" w:customStyle="1" w:styleId="s">
    <w:name w:val="s"/>
    <w:basedOn w:val="Bekezdsalapbettpusa"/>
    <w:rsid w:val="00E41334"/>
  </w:style>
  <w:style w:type="character" w:styleId="Jegyzethivatkozs">
    <w:name w:val="annotation reference"/>
    <w:uiPriority w:val="99"/>
    <w:unhideWhenUsed/>
    <w:rsid w:val="00E41334"/>
    <w:rPr>
      <w:sz w:val="16"/>
      <w:szCs w:val="16"/>
    </w:rPr>
  </w:style>
  <w:style w:type="paragraph" w:styleId="Jegyzetszveg">
    <w:name w:val="annotation text"/>
    <w:basedOn w:val="Norml"/>
    <w:link w:val="JegyzetszvegChar"/>
    <w:uiPriority w:val="99"/>
    <w:unhideWhenUsed/>
    <w:rsid w:val="00E41334"/>
    <w:pPr>
      <w:spacing w:after="0" w:line="240" w:lineRule="auto"/>
    </w:pPr>
    <w:rPr>
      <w:rFonts w:ascii="Arial" w:eastAsia="Arial" w:hAnsi="Arial" w:cs="Arial"/>
      <w:color w:val="000000"/>
      <w:sz w:val="20"/>
      <w:szCs w:val="20"/>
      <w:lang w:eastAsia="hu-HU"/>
    </w:rPr>
  </w:style>
  <w:style w:type="character" w:customStyle="1" w:styleId="JegyzetszvegChar">
    <w:name w:val="Jegyzetszöveg Char"/>
    <w:basedOn w:val="Bekezdsalapbettpusa"/>
    <w:link w:val="Jegyzetszveg"/>
    <w:uiPriority w:val="99"/>
    <w:rsid w:val="00E41334"/>
    <w:rPr>
      <w:rFonts w:ascii="Arial" w:eastAsia="Arial" w:hAnsi="Arial" w:cs="Arial"/>
      <w:color w:val="000000"/>
      <w:sz w:val="20"/>
      <w:szCs w:val="20"/>
      <w:lang w:eastAsia="hu-HU"/>
    </w:rPr>
  </w:style>
  <w:style w:type="paragraph" w:styleId="Buborkszveg">
    <w:name w:val="Balloon Text"/>
    <w:basedOn w:val="Norml"/>
    <w:link w:val="BuborkszvegChar"/>
    <w:uiPriority w:val="99"/>
    <w:unhideWhenUsed/>
    <w:rsid w:val="00E41334"/>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rsid w:val="00E41334"/>
    <w:rPr>
      <w:rFonts w:ascii="Segoe UI" w:eastAsia="PMingLiU" w:hAnsi="Segoe UI" w:cs="Segoe UI"/>
      <w:sz w:val="18"/>
      <w:szCs w:val="18"/>
    </w:rPr>
  </w:style>
  <w:style w:type="character" w:customStyle="1" w:styleId="Funotenzeichen1">
    <w:name w:val="Fußnotenzeichen1"/>
    <w:rsid w:val="00E41334"/>
    <w:rPr>
      <w:vertAlign w:val="superscript"/>
    </w:rPr>
  </w:style>
  <w:style w:type="character" w:customStyle="1" w:styleId="ZE">
    <w:name w:val="ZE"/>
    <w:rsid w:val="00E41334"/>
    <w:rPr>
      <w:rFonts w:ascii="Times" w:hAnsi="Times"/>
      <w:b/>
      <w:sz w:val="26"/>
    </w:rPr>
  </w:style>
  <w:style w:type="paragraph" w:customStyle="1" w:styleId="MDPI21heading1">
    <w:name w:val="MDPI_2.1_heading1"/>
    <w:basedOn w:val="Norml"/>
    <w:rsid w:val="00E41334"/>
    <w:pPr>
      <w:adjustRightInd w:val="0"/>
      <w:snapToGrid w:val="0"/>
      <w:spacing w:before="240" w:after="120" w:line="260" w:lineRule="atLeast"/>
      <w:outlineLvl w:val="0"/>
    </w:pPr>
    <w:rPr>
      <w:rFonts w:ascii="Palatino Linotype" w:eastAsia="Times New Roman" w:hAnsi="Palatino Linotype"/>
      <w:b/>
      <w:snapToGrid w:val="0"/>
      <w:color w:val="000000"/>
      <w:sz w:val="20"/>
      <w:lang w:val="en-US" w:eastAsia="de-DE" w:bidi="en-US"/>
    </w:rPr>
  </w:style>
  <w:style w:type="character" w:customStyle="1" w:styleId="hps">
    <w:name w:val="hps"/>
    <w:basedOn w:val="Bekezdsalapbettpusa"/>
    <w:rsid w:val="00E41334"/>
  </w:style>
  <w:style w:type="character" w:customStyle="1" w:styleId="st">
    <w:name w:val="st"/>
    <w:basedOn w:val="Bekezdsalapbettpusa"/>
    <w:rsid w:val="00E41334"/>
  </w:style>
  <w:style w:type="character" w:customStyle="1" w:styleId="Alcm1">
    <w:name w:val="Alcím1"/>
    <w:basedOn w:val="Bekezdsalapbettpusa"/>
    <w:rsid w:val="00E41334"/>
  </w:style>
  <w:style w:type="character" w:customStyle="1" w:styleId="displayfields">
    <w:name w:val="displayfields"/>
    <w:basedOn w:val="Bekezdsalapbettpusa"/>
    <w:rsid w:val="00E41334"/>
  </w:style>
  <w:style w:type="paragraph" w:styleId="lfej">
    <w:name w:val="header"/>
    <w:basedOn w:val="Norml"/>
    <w:link w:val="lfejChar"/>
    <w:uiPriority w:val="99"/>
    <w:unhideWhenUsed/>
    <w:rsid w:val="00E41334"/>
    <w:pPr>
      <w:tabs>
        <w:tab w:val="center" w:pos="4536"/>
        <w:tab w:val="right" w:pos="9072"/>
      </w:tabs>
      <w:spacing w:after="0" w:line="240" w:lineRule="auto"/>
    </w:pPr>
  </w:style>
  <w:style w:type="character" w:customStyle="1" w:styleId="lfejChar">
    <w:name w:val="Élőfej Char"/>
    <w:basedOn w:val="Bekezdsalapbettpusa"/>
    <w:link w:val="lfej"/>
    <w:uiPriority w:val="99"/>
    <w:rsid w:val="00E41334"/>
    <w:rPr>
      <w:rFonts w:ascii="Calibri" w:eastAsia="PMingLiU" w:hAnsi="Calibri" w:cs="Times New Roman"/>
    </w:rPr>
  </w:style>
  <w:style w:type="paragraph" w:styleId="llb">
    <w:name w:val="footer"/>
    <w:basedOn w:val="Norml"/>
    <w:link w:val="llbChar"/>
    <w:uiPriority w:val="99"/>
    <w:unhideWhenUsed/>
    <w:rsid w:val="00E41334"/>
    <w:pPr>
      <w:tabs>
        <w:tab w:val="center" w:pos="4536"/>
        <w:tab w:val="right" w:pos="9072"/>
      </w:tabs>
      <w:spacing w:after="0" w:line="240" w:lineRule="auto"/>
    </w:pPr>
  </w:style>
  <w:style w:type="character" w:customStyle="1" w:styleId="llbChar">
    <w:name w:val="Élőláb Char"/>
    <w:basedOn w:val="Bekezdsalapbettpusa"/>
    <w:link w:val="llb"/>
    <w:uiPriority w:val="99"/>
    <w:rsid w:val="00E41334"/>
    <w:rPr>
      <w:rFonts w:ascii="Calibri" w:eastAsia="PMingLiU" w:hAnsi="Calibri" w:cs="Times New Roman"/>
    </w:rPr>
  </w:style>
  <w:style w:type="character" w:customStyle="1" w:styleId="apple-converted-space">
    <w:name w:val="apple-converted-space"/>
    <w:basedOn w:val="Bekezdsalapbettpusa"/>
    <w:rsid w:val="00E41334"/>
  </w:style>
  <w:style w:type="table" w:styleId="Rcsostblzat">
    <w:name w:val="Table Grid"/>
    <w:basedOn w:val="Normltblzat"/>
    <w:uiPriority w:val="39"/>
    <w:rsid w:val="00E41334"/>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egjegyzstrgya">
    <w:name w:val="annotation subject"/>
    <w:basedOn w:val="Jegyzetszveg"/>
    <w:next w:val="Jegyzetszveg"/>
    <w:link w:val="MegjegyzstrgyaChar"/>
    <w:uiPriority w:val="99"/>
    <w:unhideWhenUsed/>
    <w:rsid w:val="00E41334"/>
    <w:pPr>
      <w:spacing w:after="160"/>
    </w:pPr>
    <w:rPr>
      <w:rFonts w:ascii="Calibri" w:eastAsia="Calibri" w:hAnsi="Calibri" w:cs="Times New Roman"/>
      <w:b/>
      <w:bCs/>
      <w:color w:val="auto"/>
      <w:lang w:eastAsia="en-US"/>
    </w:rPr>
  </w:style>
  <w:style w:type="character" w:customStyle="1" w:styleId="MegjegyzstrgyaChar">
    <w:name w:val="Megjegyzés tárgya Char"/>
    <w:basedOn w:val="JegyzetszvegChar"/>
    <w:link w:val="Megjegyzstrgya"/>
    <w:uiPriority w:val="99"/>
    <w:rsid w:val="00E41334"/>
    <w:rPr>
      <w:rFonts w:ascii="Calibri" w:eastAsia="Calibri" w:hAnsi="Calibri" w:cs="Times New Roman"/>
      <w:b/>
      <w:bCs/>
      <w:color w:val="000000"/>
      <w:sz w:val="20"/>
      <w:szCs w:val="20"/>
      <w:lang w:eastAsia="hu-HU"/>
    </w:rPr>
  </w:style>
  <w:style w:type="paragraph" w:customStyle="1" w:styleId="MS">
    <w:name w:val="MS바탕글"/>
    <w:basedOn w:val="Norml"/>
    <w:uiPriority w:val="17"/>
    <w:rsid w:val="00E41334"/>
    <w:pPr>
      <w:spacing w:after="0" w:line="240" w:lineRule="auto"/>
      <w:jc w:val="both"/>
    </w:pPr>
    <w:rPr>
      <w:rFonts w:ascii="Gulim" w:eastAsia="Gulim" w:hAnsi="Gulim" w:cs="Gulim"/>
      <w:color w:val="000000"/>
      <w:sz w:val="20"/>
      <w:szCs w:val="20"/>
      <w:lang w:val="en-US" w:eastAsia="ko-KR"/>
    </w:rPr>
  </w:style>
  <w:style w:type="paragraph" w:customStyle="1" w:styleId="a">
    <w:name w:val="바탕글"/>
    <w:basedOn w:val="Norml"/>
    <w:rsid w:val="00E41334"/>
    <w:pPr>
      <w:widowControl w:val="0"/>
      <w:wordWrap w:val="0"/>
      <w:autoSpaceDE w:val="0"/>
      <w:autoSpaceDN w:val="0"/>
      <w:spacing w:after="0" w:line="384" w:lineRule="auto"/>
      <w:jc w:val="both"/>
      <w:textAlignment w:val="baseline"/>
    </w:pPr>
    <w:rPr>
      <w:rFonts w:ascii="Gulim" w:eastAsia="Gulim" w:hAnsi="Gulim" w:cs="Gulim"/>
      <w:color w:val="000000"/>
      <w:sz w:val="20"/>
      <w:szCs w:val="20"/>
      <w:lang w:val="en-US" w:eastAsia="ko-KR"/>
    </w:rPr>
  </w:style>
  <w:style w:type="paragraph" w:customStyle="1" w:styleId="a0">
    <w:name w:val="각주"/>
    <w:basedOn w:val="Norml"/>
    <w:rsid w:val="00E41334"/>
    <w:pPr>
      <w:widowControl w:val="0"/>
      <w:wordWrap w:val="0"/>
      <w:autoSpaceDE w:val="0"/>
      <w:autoSpaceDN w:val="0"/>
      <w:snapToGrid w:val="0"/>
      <w:spacing w:after="0" w:line="312" w:lineRule="auto"/>
      <w:ind w:hanging="262"/>
      <w:jc w:val="both"/>
      <w:textAlignment w:val="baseline"/>
    </w:pPr>
    <w:rPr>
      <w:rFonts w:ascii="Gulim" w:eastAsia="Gulim" w:hAnsi="Gulim" w:cs="Gulim"/>
      <w:color w:val="000000"/>
      <w:sz w:val="18"/>
      <w:szCs w:val="18"/>
      <w:lang w:val="en-US" w:eastAsia="ko-KR"/>
    </w:rPr>
  </w:style>
  <w:style w:type="paragraph" w:customStyle="1" w:styleId="Sectiontitle40">
    <w:name w:val="Section title 4"/>
    <w:basedOn w:val="Sectiontitle1"/>
    <w:link w:val="Sectiontitle4Char0"/>
    <w:rsid w:val="00E41334"/>
    <w:rPr>
      <w:b w:val="0"/>
      <w:lang w:val="en-GB"/>
    </w:rPr>
  </w:style>
  <w:style w:type="character" w:customStyle="1" w:styleId="Sectiontitle4Char0">
    <w:name w:val="Section title 4 Char"/>
    <w:link w:val="Sectiontitle40"/>
    <w:rsid w:val="00E41334"/>
    <w:rPr>
      <w:rFonts w:ascii="Cambria" w:eastAsia="Cambria" w:hAnsi="Cambria" w:cs="Cambria"/>
      <w:i/>
      <w:color w:val="000000"/>
      <w:sz w:val="24"/>
      <w:szCs w:val="24"/>
      <w:lang w:val="en-GB" w:eastAsia="hu-HU"/>
    </w:rPr>
  </w:style>
  <w:style w:type="paragraph" w:customStyle="1" w:styleId="a1">
    <w:name w:val="표내용"/>
    <w:uiPriority w:val="14"/>
    <w:rsid w:val="00E41334"/>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napToGrid w:val="0"/>
      <w:spacing w:after="0" w:line="360" w:lineRule="auto"/>
      <w:jc w:val="both"/>
      <w:textAlignment w:val="baseline"/>
    </w:pPr>
    <w:rPr>
      <w:rFonts w:ascii="HY Sinmyeongjo" w:eastAsia="HY Sinmyeongjo" w:hAnsi="Calibri" w:cs="Times New Roman"/>
      <w:color w:val="000000"/>
      <w:spacing w:val="-5"/>
      <w:kern w:val="2"/>
      <w:sz w:val="20"/>
      <w:lang w:val="en-US" w:eastAsia="ko-KR"/>
    </w:rPr>
  </w:style>
  <w:style w:type="table" w:customStyle="1" w:styleId="Tblzatrcsos5stt4jellszn1">
    <w:name w:val="Táblázat (rácsos) 5 – sötét – 4. jelölőszín1"/>
    <w:basedOn w:val="Normltblzat"/>
    <w:uiPriority w:val="50"/>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Tblzatrcsos41jellszn1">
    <w:name w:val="Táblázat (rácsos) 4 – 1. jelölőszín1"/>
    <w:basedOn w:val="Normltblzat"/>
    <w:uiPriority w:val="49"/>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1vilgos4jellszn1">
    <w:name w:val="Táblázat (rácsos) 1 – világos – 4. jelölőszín1"/>
    <w:basedOn w:val="Normltblzat"/>
    <w:uiPriority w:val="46"/>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paragraph" w:customStyle="1" w:styleId="bodytext">
    <w:name w:val="bodytext"/>
    <w:basedOn w:val="Norml"/>
    <w:rsid w:val="00E41334"/>
    <w:pPr>
      <w:spacing w:before="100" w:beforeAutospacing="1" w:after="100" w:afterAutospacing="1" w:line="240" w:lineRule="auto"/>
    </w:pPr>
    <w:rPr>
      <w:rFonts w:ascii="Times New Roman" w:eastAsia="Times New Roman" w:hAnsi="Times New Roman"/>
      <w:sz w:val="24"/>
      <w:szCs w:val="24"/>
      <w:lang w:val="en-US"/>
    </w:rPr>
  </w:style>
  <w:style w:type="numbering" w:customStyle="1" w:styleId="Nemlista1">
    <w:name w:val="Nem lista1"/>
    <w:next w:val="Nemlista"/>
    <w:uiPriority w:val="99"/>
    <w:semiHidden/>
    <w:unhideWhenUsed/>
    <w:rsid w:val="00E41334"/>
  </w:style>
  <w:style w:type="paragraph" w:styleId="Vltozat">
    <w:name w:val="Revision"/>
    <w:hidden/>
    <w:uiPriority w:val="99"/>
    <w:semiHidden/>
    <w:rsid w:val="00E41334"/>
    <w:pPr>
      <w:spacing w:after="0" w:line="240" w:lineRule="auto"/>
    </w:pPr>
    <w:rPr>
      <w:rFonts w:ascii="Calibri" w:eastAsia="MS Mincho" w:hAnsi="Calibri" w:cs="Times New Roman"/>
      <w:sz w:val="24"/>
      <w:lang w:val="en-US"/>
    </w:rPr>
  </w:style>
  <w:style w:type="character" w:customStyle="1" w:styleId="Cmsor5Char1">
    <w:name w:val="Címsor 5 Char1"/>
    <w:uiPriority w:val="9"/>
    <w:semiHidden/>
    <w:rsid w:val="00E41334"/>
    <w:rPr>
      <w:rFonts w:ascii="Calibri Light" w:eastAsia="PMingLiU" w:hAnsi="Calibri Light" w:cs="Times New Roman"/>
      <w:color w:val="2E74B5"/>
    </w:rPr>
  </w:style>
  <w:style w:type="character" w:customStyle="1" w:styleId="Cmsor6Char1">
    <w:name w:val="Címsor 6 Char1"/>
    <w:uiPriority w:val="9"/>
    <w:semiHidden/>
    <w:rsid w:val="00E41334"/>
    <w:rPr>
      <w:rFonts w:ascii="Calibri Light" w:eastAsia="PMingLiU" w:hAnsi="Calibri Light" w:cs="Times New Roman"/>
      <w:color w:val="1F4D78"/>
    </w:rPr>
  </w:style>
  <w:style w:type="character" w:customStyle="1" w:styleId="Cmsor7Char1">
    <w:name w:val="Címsor 7 Char1"/>
    <w:uiPriority w:val="9"/>
    <w:semiHidden/>
    <w:rsid w:val="00E41334"/>
    <w:rPr>
      <w:rFonts w:ascii="Calibri Light" w:eastAsia="PMingLiU" w:hAnsi="Calibri Light" w:cs="Times New Roman"/>
      <w:i/>
      <w:iCs/>
      <w:color w:val="1F4D78"/>
    </w:rPr>
  </w:style>
  <w:style w:type="character" w:customStyle="1" w:styleId="Cmsor8Char1">
    <w:name w:val="Címsor 8 Char1"/>
    <w:uiPriority w:val="9"/>
    <w:semiHidden/>
    <w:rsid w:val="00E41334"/>
    <w:rPr>
      <w:rFonts w:ascii="Calibri Light" w:eastAsia="PMingLiU" w:hAnsi="Calibri Light" w:cs="Times New Roman"/>
      <w:color w:val="272727"/>
      <w:sz w:val="21"/>
      <w:szCs w:val="21"/>
    </w:rPr>
  </w:style>
  <w:style w:type="character" w:customStyle="1" w:styleId="Cmsor9Char1">
    <w:name w:val="Címsor 9 Char1"/>
    <w:uiPriority w:val="9"/>
    <w:semiHidden/>
    <w:rsid w:val="00E41334"/>
    <w:rPr>
      <w:rFonts w:ascii="Calibri Light" w:eastAsia="PMingLiU" w:hAnsi="Calibri Light" w:cs="Times New Roman"/>
      <w:i/>
      <w:iCs/>
      <w:color w:val="272727"/>
      <w:sz w:val="21"/>
      <w:szCs w:val="21"/>
    </w:rPr>
  </w:style>
  <w:style w:type="paragraph" w:customStyle="1" w:styleId="NormalFirst">
    <w:name w:val="NormalFirst"/>
    <w:basedOn w:val="Norml"/>
    <w:rsid w:val="00E41334"/>
    <w:pPr>
      <w:suppressAutoHyphens/>
      <w:spacing w:after="240" w:line="240" w:lineRule="auto"/>
      <w:jc w:val="both"/>
    </w:pPr>
    <w:rPr>
      <w:rFonts w:ascii="Times New Roman" w:eastAsia="Times New Roman" w:hAnsi="Times New Roman"/>
      <w:sz w:val="24"/>
      <w:szCs w:val="24"/>
      <w:lang w:val="en-GB" w:eastAsia="ar-SA"/>
    </w:rPr>
  </w:style>
  <w:style w:type="paragraph" w:customStyle="1" w:styleId="Title1">
    <w:name w:val="Title1"/>
    <w:basedOn w:val="Norml"/>
    <w:rsid w:val="00E41334"/>
    <w:pPr>
      <w:keepNext/>
      <w:keepLines/>
      <w:pageBreakBefore/>
      <w:tabs>
        <w:tab w:val="left" w:pos="284"/>
      </w:tabs>
      <w:suppressAutoHyphens/>
      <w:spacing w:before="120" w:after="460" w:line="240" w:lineRule="auto"/>
      <w:jc w:val="center"/>
    </w:pPr>
    <w:rPr>
      <w:rFonts w:ascii="Times New Roman" w:eastAsia="Times New Roman" w:hAnsi="Times New Roman"/>
      <w:b/>
      <w:sz w:val="32"/>
      <w:szCs w:val="24"/>
      <w:lang w:val="en-GB" w:eastAsia="ar-SA"/>
    </w:rPr>
  </w:style>
  <w:style w:type="paragraph" w:customStyle="1" w:styleId="ListParagraph1">
    <w:name w:val="List Paragraph1"/>
    <w:basedOn w:val="Norml"/>
    <w:rsid w:val="00E41334"/>
    <w:pPr>
      <w:suppressAutoHyphens/>
      <w:spacing w:after="240" w:line="240" w:lineRule="auto"/>
      <w:ind w:left="720" w:firstLine="284"/>
      <w:jc w:val="both"/>
    </w:pPr>
    <w:rPr>
      <w:rFonts w:ascii="Times New Roman" w:eastAsia="Times New Roman" w:hAnsi="Times New Roman"/>
      <w:sz w:val="24"/>
      <w:szCs w:val="24"/>
      <w:lang w:val="en-GB" w:eastAsia="ar-SA"/>
    </w:rPr>
  </w:style>
  <w:style w:type="table" w:customStyle="1" w:styleId="Tblzatrcsos5stt5jellszn1">
    <w:name w:val="Táblázat (rácsos) 5 – sötét – 5. jelölőszín1"/>
    <w:basedOn w:val="Normltblzat"/>
    <w:uiPriority w:val="50"/>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uthor0">
    <w:name w:val="author"/>
    <w:basedOn w:val="Norml"/>
    <w:next w:val="address"/>
    <w:rsid w:val="00E41334"/>
    <w:pPr>
      <w:autoSpaceDE w:val="0"/>
      <w:autoSpaceDN w:val="0"/>
      <w:spacing w:after="220" w:line="240" w:lineRule="auto"/>
      <w:jc w:val="center"/>
    </w:pPr>
    <w:rPr>
      <w:rFonts w:ascii="Times New Roman" w:eastAsia="Times New Roman" w:hAnsi="Times New Roman"/>
      <w:szCs w:val="20"/>
      <w:lang w:val="en-US" w:eastAsia="cs-CZ"/>
    </w:rPr>
  </w:style>
  <w:style w:type="paragraph" w:customStyle="1" w:styleId="address">
    <w:name w:val="address"/>
    <w:basedOn w:val="Norml"/>
    <w:next w:val="email"/>
    <w:rsid w:val="00E41334"/>
    <w:pPr>
      <w:autoSpaceDE w:val="0"/>
      <w:autoSpaceDN w:val="0"/>
      <w:spacing w:after="0" w:line="240" w:lineRule="auto"/>
      <w:jc w:val="center"/>
    </w:pPr>
    <w:rPr>
      <w:rFonts w:ascii="Times New Roman" w:eastAsia="Times New Roman" w:hAnsi="Times New Roman"/>
      <w:i/>
      <w:iCs/>
      <w:sz w:val="20"/>
      <w:szCs w:val="20"/>
      <w:lang w:val="en-US" w:eastAsia="cs-CZ"/>
    </w:rPr>
  </w:style>
  <w:style w:type="paragraph" w:customStyle="1" w:styleId="email">
    <w:name w:val="email"/>
    <w:basedOn w:val="Norml"/>
    <w:next w:val="Norml"/>
    <w:rsid w:val="00E41334"/>
    <w:pPr>
      <w:autoSpaceDE w:val="0"/>
      <w:autoSpaceDN w:val="0"/>
      <w:spacing w:after="40" w:line="240" w:lineRule="auto"/>
      <w:jc w:val="center"/>
    </w:pPr>
    <w:rPr>
      <w:rFonts w:ascii="Courier New" w:eastAsia="Times New Roman" w:hAnsi="Courier New"/>
      <w:sz w:val="18"/>
      <w:szCs w:val="20"/>
      <w:lang w:val="en-US" w:eastAsia="cs-CZ"/>
    </w:rPr>
  </w:style>
  <w:style w:type="paragraph" w:customStyle="1" w:styleId="BulletItem">
    <w:name w:val="Bullet Item"/>
    <w:basedOn w:val="Norml"/>
    <w:rsid w:val="00E41334"/>
    <w:pPr>
      <w:numPr>
        <w:numId w:val="5"/>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NumberedItem">
    <w:name w:val="Numbered Item"/>
    <w:basedOn w:val="Norml"/>
    <w:rsid w:val="00E41334"/>
    <w:pPr>
      <w:numPr>
        <w:numId w:val="6"/>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programcode">
    <w:name w:val="programcode"/>
    <w:basedOn w:val="Norml"/>
    <w:rsid w:val="00E41334"/>
    <w:pPr>
      <w:tabs>
        <w:tab w:val="left" w:pos="1361"/>
        <w:tab w:val="left" w:pos="1531"/>
        <w:tab w:val="left" w:pos="1701"/>
        <w:tab w:val="left" w:pos="1871"/>
        <w:tab w:val="left" w:pos="2041"/>
        <w:tab w:val="left" w:pos="2211"/>
        <w:tab w:val="left" w:pos="2381"/>
        <w:tab w:val="left" w:pos="2552"/>
      </w:tabs>
      <w:autoSpaceDE w:val="0"/>
      <w:autoSpaceDN w:val="0"/>
      <w:spacing w:after="0" w:line="240" w:lineRule="auto"/>
      <w:ind w:left="397"/>
    </w:pPr>
    <w:rPr>
      <w:rFonts w:ascii="Courier New" w:eastAsia="Times New Roman" w:hAnsi="Courier New"/>
      <w:sz w:val="18"/>
      <w:szCs w:val="20"/>
      <w:lang w:val="en-US" w:eastAsia="cs-CZ"/>
    </w:rPr>
  </w:style>
  <w:style w:type="paragraph" w:customStyle="1" w:styleId="ReferenceItem">
    <w:name w:val="ReferenceItem"/>
    <w:basedOn w:val="Norml"/>
    <w:rsid w:val="00E41334"/>
    <w:pPr>
      <w:numPr>
        <w:numId w:val="4"/>
      </w:numPr>
      <w:autoSpaceDE w:val="0"/>
      <w:autoSpaceDN w:val="0"/>
      <w:spacing w:after="40" w:line="240" w:lineRule="auto"/>
      <w:jc w:val="both"/>
    </w:pPr>
    <w:rPr>
      <w:rFonts w:ascii="Times New Roman" w:eastAsia="Times New Roman" w:hAnsi="Times New Roman"/>
      <w:sz w:val="20"/>
      <w:szCs w:val="20"/>
      <w:lang w:val="en-GB" w:eastAsia="cs-CZ"/>
    </w:rPr>
  </w:style>
  <w:style w:type="paragraph" w:customStyle="1" w:styleId="Equation">
    <w:name w:val="Equation"/>
    <w:basedOn w:val="Norml"/>
    <w:rsid w:val="00E41334"/>
    <w:pPr>
      <w:autoSpaceDE w:val="0"/>
      <w:autoSpaceDN w:val="0"/>
      <w:spacing w:before="120" w:after="120" w:line="240" w:lineRule="auto"/>
      <w:ind w:firstLine="284"/>
      <w:jc w:val="right"/>
    </w:pPr>
    <w:rPr>
      <w:rFonts w:ascii="Times New Roman" w:eastAsia="Times New Roman" w:hAnsi="Times New Roman"/>
      <w:sz w:val="20"/>
      <w:szCs w:val="20"/>
      <w:lang w:val="en-GB" w:eastAsia="cs-CZ"/>
    </w:rPr>
  </w:style>
  <w:style w:type="paragraph" w:customStyle="1" w:styleId="Annotation">
    <w:name w:val="Annotation"/>
    <w:basedOn w:val="Abstract"/>
    <w:rsid w:val="00E41334"/>
    <w:pPr>
      <w:autoSpaceDE w:val="0"/>
      <w:autoSpaceDN w:val="0"/>
      <w:spacing w:before="0" w:after="0"/>
      <w:jc w:val="both"/>
    </w:pPr>
    <w:rPr>
      <w:rFonts w:ascii="Times New Roman" w:eastAsia="Times New Roman" w:hAnsi="Times New Roman"/>
      <w:sz w:val="20"/>
      <w:szCs w:val="20"/>
      <w:lang w:val="cs-CZ" w:eastAsia="cs-CZ"/>
    </w:rPr>
  </w:style>
  <w:style w:type="character" w:styleId="Oldalszm">
    <w:name w:val="page number"/>
    <w:rsid w:val="00E41334"/>
    <w:rPr>
      <w:rFonts w:ascii="Times New Roman" w:hAnsi="Times New Roman"/>
      <w:sz w:val="20"/>
    </w:rPr>
  </w:style>
  <w:style w:type="paragraph" w:customStyle="1" w:styleId="AnnotationTitle">
    <w:name w:val="AnnotationTitle"/>
    <w:basedOn w:val="Annotation"/>
    <w:next w:val="Annotation"/>
    <w:rsid w:val="00E41334"/>
    <w:pPr>
      <w:keepNext/>
      <w:spacing w:before="360"/>
      <w:jc w:val="left"/>
    </w:pPr>
    <w:rPr>
      <w:b w:val="0"/>
    </w:rPr>
  </w:style>
  <w:style w:type="paragraph" w:styleId="Dokumentumtrkp">
    <w:name w:val="Document Map"/>
    <w:basedOn w:val="Norml"/>
    <w:link w:val="DokumentumtrkpChar"/>
    <w:semiHidden/>
    <w:unhideWhenUsed/>
    <w:rsid w:val="00E41334"/>
    <w:pPr>
      <w:autoSpaceDE w:val="0"/>
      <w:autoSpaceDN w:val="0"/>
      <w:spacing w:after="0" w:line="240" w:lineRule="auto"/>
      <w:ind w:firstLine="284"/>
      <w:jc w:val="both"/>
    </w:pPr>
    <w:rPr>
      <w:rFonts w:ascii="Times New Roman" w:eastAsia="Times New Roman" w:hAnsi="Times New Roman"/>
      <w:sz w:val="24"/>
      <w:szCs w:val="24"/>
      <w:lang w:val="en-US" w:eastAsia="cs-CZ"/>
    </w:rPr>
  </w:style>
  <w:style w:type="character" w:customStyle="1" w:styleId="DokumentumtrkpChar">
    <w:name w:val="Dokumentumtérkép Char"/>
    <w:basedOn w:val="Bekezdsalapbettpusa"/>
    <w:link w:val="Dokumentumtrkp"/>
    <w:semiHidden/>
    <w:rsid w:val="00E41334"/>
    <w:rPr>
      <w:rFonts w:ascii="Times New Roman" w:eastAsia="Times New Roman" w:hAnsi="Times New Roman" w:cs="Times New Roman"/>
      <w:sz w:val="24"/>
      <w:szCs w:val="24"/>
      <w:lang w:val="en-US" w:eastAsia="cs-CZ"/>
    </w:rPr>
  </w:style>
  <w:style w:type="character" w:customStyle="1" w:styleId="DateChar">
    <w:name w:val="Date Char"/>
    <w:link w:val="Dtum1"/>
    <w:uiPriority w:val="99"/>
    <w:rsid w:val="00E41334"/>
    <w:rPr>
      <w:rFonts w:ascii="Calibri Light" w:hAnsi="Calibri Light" w:cs="Times New Roman"/>
      <w:b/>
      <w:sz w:val="24"/>
    </w:rPr>
  </w:style>
  <w:style w:type="character" w:styleId="Vgjegyzet-hivatkozs">
    <w:name w:val="endnote reference"/>
    <w:uiPriority w:val="99"/>
    <w:semiHidden/>
    <w:unhideWhenUsed/>
    <w:rsid w:val="00E41334"/>
    <w:rPr>
      <w:vertAlign w:val="superscript"/>
    </w:rPr>
  </w:style>
  <w:style w:type="character" w:customStyle="1" w:styleId="CsakszvegChar">
    <w:name w:val="Csak szöveg Char"/>
    <w:link w:val="Csakszveg"/>
    <w:uiPriority w:val="99"/>
    <w:semiHidden/>
    <w:rsid w:val="00E41334"/>
    <w:rPr>
      <w:rFonts w:ascii="Courier New" w:hAnsi="Courier New" w:cs="Courier New"/>
      <w:sz w:val="21"/>
    </w:rPr>
  </w:style>
  <w:style w:type="paragraph" w:customStyle="1" w:styleId="Dtum1">
    <w:name w:val="Dátum1"/>
    <w:basedOn w:val="Norml"/>
    <w:link w:val="DateChar"/>
    <w:uiPriority w:val="99"/>
    <w:rsid w:val="00E41334"/>
    <w:pPr>
      <w:spacing w:after="0" w:line="276" w:lineRule="auto"/>
      <w:jc w:val="center"/>
    </w:pPr>
    <w:rPr>
      <w:rFonts w:ascii="Calibri Light" w:eastAsiaTheme="minorHAnsi" w:hAnsi="Calibri Light"/>
      <w:b/>
      <w:sz w:val="24"/>
    </w:rPr>
  </w:style>
  <w:style w:type="character" w:customStyle="1" w:styleId="VgjegyzetszvegeChar">
    <w:name w:val="Végjegyzet szövege Char"/>
    <w:link w:val="Vgjegyzetszvege"/>
    <w:uiPriority w:val="99"/>
    <w:semiHidden/>
    <w:rsid w:val="00E41334"/>
    <w:rPr>
      <w:sz w:val="20"/>
    </w:rPr>
  </w:style>
  <w:style w:type="paragraph" w:styleId="Vgjegyzetszvege">
    <w:name w:val="endnote text"/>
    <w:basedOn w:val="Norml"/>
    <w:link w:val="VgjegyzetszvegeChar"/>
    <w:uiPriority w:val="99"/>
    <w:semiHidden/>
    <w:unhideWhenUsed/>
    <w:rsid w:val="00E41334"/>
    <w:pPr>
      <w:spacing w:after="0" w:line="240" w:lineRule="auto"/>
    </w:pPr>
    <w:rPr>
      <w:rFonts w:asciiTheme="minorHAnsi" w:eastAsiaTheme="minorHAnsi" w:hAnsiTheme="minorHAnsi" w:cstheme="minorBidi"/>
      <w:sz w:val="20"/>
    </w:rPr>
  </w:style>
  <w:style w:type="character" w:customStyle="1" w:styleId="VgjegyzetszvegeChar1">
    <w:name w:val="Végjegyzet szövege Char1"/>
    <w:basedOn w:val="Bekezdsalapbettpusa"/>
    <w:uiPriority w:val="99"/>
    <w:semiHidden/>
    <w:rsid w:val="00E41334"/>
    <w:rPr>
      <w:rFonts w:ascii="Calibri" w:eastAsia="PMingLiU" w:hAnsi="Calibri" w:cs="Times New Roman"/>
      <w:sz w:val="20"/>
      <w:szCs w:val="20"/>
    </w:rPr>
  </w:style>
  <w:style w:type="paragraph" w:styleId="Csakszveg">
    <w:name w:val="Plain Text"/>
    <w:basedOn w:val="Norml"/>
    <w:link w:val="CsakszvegChar"/>
    <w:uiPriority w:val="99"/>
    <w:semiHidden/>
    <w:unhideWhenUsed/>
    <w:rsid w:val="00E41334"/>
    <w:pPr>
      <w:spacing w:after="0" w:line="240" w:lineRule="auto"/>
    </w:pPr>
    <w:rPr>
      <w:rFonts w:ascii="Courier New" w:eastAsiaTheme="minorHAnsi" w:hAnsi="Courier New" w:cs="Courier New"/>
      <w:sz w:val="21"/>
    </w:rPr>
  </w:style>
  <w:style w:type="character" w:customStyle="1" w:styleId="CsakszvegChar1">
    <w:name w:val="Csak szöveg Char1"/>
    <w:basedOn w:val="Bekezdsalapbettpusa"/>
    <w:uiPriority w:val="99"/>
    <w:semiHidden/>
    <w:rsid w:val="00E41334"/>
    <w:rPr>
      <w:rFonts w:ascii="Consolas" w:eastAsia="PMingLiU" w:hAnsi="Consolas" w:cs="Consolas"/>
      <w:sz w:val="21"/>
      <w:szCs w:val="21"/>
    </w:rPr>
  </w:style>
  <w:style w:type="character" w:customStyle="1" w:styleId="TitleChar0">
    <w:name w:val="Title Char"/>
    <w:rsid w:val="00E41334"/>
    <w:rPr>
      <w:rFonts w:ascii="Calibri Light" w:hAnsi="Calibri Light" w:cs="Times New Roman"/>
      <w:b/>
      <w:color w:val="44546A"/>
      <w:sz w:val="24"/>
    </w:rPr>
  </w:style>
  <w:style w:type="paragraph" w:customStyle="1" w:styleId="pcim">
    <w:name w:val="pcim"/>
    <w:basedOn w:val="Norml"/>
    <w:rsid w:val="00E41334"/>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Default">
    <w:name w:val="Default"/>
    <w:rsid w:val="00E41334"/>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Szvegtrzs2">
    <w:name w:val="Body Text 2"/>
    <w:basedOn w:val="Norml"/>
    <w:link w:val="Szvegtrzs2Char"/>
    <w:rsid w:val="00E41334"/>
    <w:pPr>
      <w:spacing w:after="0" w:line="240" w:lineRule="auto"/>
      <w:jc w:val="both"/>
    </w:pPr>
    <w:rPr>
      <w:rFonts w:ascii="Times New Roman" w:eastAsia="Times New Roman" w:hAnsi="Times New Roman"/>
      <w:sz w:val="20"/>
      <w:szCs w:val="20"/>
    </w:rPr>
  </w:style>
  <w:style w:type="character" w:customStyle="1" w:styleId="Szvegtrzs2Char">
    <w:name w:val="Szövegtörzs 2 Char"/>
    <w:basedOn w:val="Bekezdsalapbettpusa"/>
    <w:link w:val="Szvegtrzs2"/>
    <w:rsid w:val="00E41334"/>
    <w:rPr>
      <w:rFonts w:ascii="Times New Roman" w:eastAsia="Times New Roman" w:hAnsi="Times New Roman" w:cs="Times New Roman"/>
      <w:sz w:val="20"/>
      <w:szCs w:val="20"/>
    </w:rPr>
  </w:style>
  <w:style w:type="paragraph" w:customStyle="1" w:styleId="NoSpacing1">
    <w:name w:val="No Spacing1"/>
    <w:rsid w:val="00E41334"/>
    <w:pPr>
      <w:spacing w:after="0" w:line="240" w:lineRule="auto"/>
    </w:pPr>
    <w:rPr>
      <w:rFonts w:ascii="Calibri" w:eastAsia="Times New Roman" w:hAnsi="Calibri" w:cs="Times New Roman"/>
      <w:lang w:val="en-US"/>
    </w:rPr>
  </w:style>
  <w:style w:type="paragraph" w:customStyle="1" w:styleId="TableContents">
    <w:name w:val="Table Contents"/>
    <w:rsid w:val="00E41334"/>
    <w:pPr>
      <w:widowControl w:val="0"/>
      <w:suppressAutoHyphens/>
      <w:spacing w:after="0" w:line="240" w:lineRule="auto"/>
    </w:pPr>
    <w:rPr>
      <w:rFonts w:ascii="Times New Roman" w:eastAsia="Times New Roman" w:hAnsi="Times New Roman" w:cs="Times New Roman"/>
      <w:color w:val="000000"/>
      <w:kern w:val="2"/>
      <w:sz w:val="24"/>
      <w:szCs w:val="24"/>
      <w:u w:color="000000"/>
      <w:lang w:val="en-US" w:eastAsia="hu-HU"/>
    </w:rPr>
  </w:style>
  <w:style w:type="paragraph" w:customStyle="1" w:styleId="3Fonction">
    <w:name w:val="3 Fonction"/>
    <w:next w:val="Norml"/>
    <w:rsid w:val="00E41334"/>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before="120" w:after="0" w:line="240" w:lineRule="auto"/>
    </w:pPr>
    <w:rPr>
      <w:rFonts w:ascii="Arial" w:eastAsia="Arial Unicode MS" w:hAnsi="Arial" w:cs="Arial Unicode MS"/>
      <w:color w:val="000000"/>
      <w:spacing w:val="-2"/>
      <w:sz w:val="28"/>
      <w:szCs w:val="28"/>
      <w:u w:color="000000"/>
      <w:lang w:val="fr-FR" w:eastAsia="hu-HU"/>
    </w:rPr>
  </w:style>
  <w:style w:type="paragraph" w:customStyle="1" w:styleId="5Normal">
    <w:name w:val="5 Normal"/>
    <w:rsid w:val="00E41334"/>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after="120" w:line="240" w:lineRule="auto"/>
      <w:jc w:val="both"/>
    </w:pPr>
    <w:rPr>
      <w:rFonts w:ascii="Arial" w:eastAsia="Arial Unicode MS" w:hAnsi="Arial" w:cs="Arial Unicode MS"/>
      <w:color w:val="000000"/>
      <w:u w:color="000000"/>
      <w:lang w:val="fr-FR" w:eastAsia="hu-HU"/>
    </w:rPr>
  </w:style>
  <w:style w:type="character" w:customStyle="1" w:styleId="Nincs">
    <w:name w:val="Nincs"/>
    <w:rsid w:val="00E41334"/>
  </w:style>
  <w:style w:type="character" w:customStyle="1" w:styleId="Hyperlink0">
    <w:name w:val="Hyperlink.0"/>
    <w:rsid w:val="00E41334"/>
    <w:rPr>
      <w:rFonts w:ascii="Cambria" w:eastAsia="Cambria" w:hAnsi="Cambria" w:cs="Cambria" w:hint="default"/>
      <w:sz w:val="20"/>
      <w:szCs w:val="20"/>
      <w:lang w:val="en-US"/>
    </w:rPr>
  </w:style>
  <w:style w:type="character" w:customStyle="1" w:styleId="Link">
    <w:name w:val="Link"/>
    <w:rsid w:val="00E41334"/>
    <w:rPr>
      <w:color w:val="0000FF"/>
      <w:u w:val="single" w:color="0000FF"/>
    </w:rPr>
  </w:style>
  <w:style w:type="character" w:customStyle="1" w:styleId="Hyperlink1">
    <w:name w:val="Hyperlink.1"/>
    <w:rsid w:val="00E41334"/>
    <w:rPr>
      <w:rFonts w:ascii="Cambria" w:eastAsia="Cambria" w:hAnsi="Cambria" w:cs="Cambria" w:hint="default"/>
      <w:color w:val="0000FF"/>
      <w:sz w:val="20"/>
      <w:szCs w:val="20"/>
      <w:u w:val="single" w:color="0000FF"/>
    </w:rPr>
  </w:style>
  <w:style w:type="character" w:customStyle="1" w:styleId="Hyperlink2">
    <w:name w:val="Hyperlink.2"/>
    <w:rsid w:val="00E41334"/>
    <w:rPr>
      <w:rFonts w:ascii="Cambria" w:eastAsia="Cambria" w:hAnsi="Cambria" w:cs="Cambria" w:hint="default"/>
      <w:strike w:val="0"/>
      <w:dstrike w:val="0"/>
      <w:color w:val="000000"/>
      <w:sz w:val="20"/>
      <w:szCs w:val="20"/>
      <w:u w:val="none" w:color="000000"/>
      <w:effect w:val="none"/>
    </w:rPr>
  </w:style>
  <w:style w:type="character" w:customStyle="1" w:styleId="Hyperlink3">
    <w:name w:val="Hyperlink.3"/>
    <w:rsid w:val="00E41334"/>
    <w:rPr>
      <w:rFonts w:ascii="Cambria" w:eastAsia="Cambria" w:hAnsi="Cambria" w:cs="Cambria" w:hint="default"/>
      <w:color w:val="0000FF"/>
      <w:sz w:val="20"/>
      <w:szCs w:val="20"/>
      <w:u w:val="single" w:color="0000FF"/>
      <w:shd w:val="clear" w:color="auto" w:fill="FFFFFF"/>
    </w:rPr>
  </w:style>
  <w:style w:type="numbering" w:customStyle="1" w:styleId="5importltstlus">
    <w:name w:val="5. importált stílus"/>
    <w:rsid w:val="00E41334"/>
    <w:pPr>
      <w:numPr>
        <w:numId w:val="7"/>
      </w:numPr>
    </w:pPr>
  </w:style>
  <w:style w:type="numbering" w:customStyle="1" w:styleId="2importltstlus">
    <w:name w:val="2. importált stílus"/>
    <w:rsid w:val="00E41334"/>
    <w:pPr>
      <w:numPr>
        <w:numId w:val="8"/>
      </w:numPr>
    </w:pPr>
  </w:style>
  <w:style w:type="numbering" w:customStyle="1" w:styleId="4importltstlus">
    <w:name w:val="4. importált stílus"/>
    <w:rsid w:val="00E41334"/>
    <w:pPr>
      <w:numPr>
        <w:numId w:val="9"/>
      </w:numPr>
    </w:pPr>
  </w:style>
  <w:style w:type="numbering" w:customStyle="1" w:styleId="7importltstlus">
    <w:name w:val="7. importált stílus"/>
    <w:rsid w:val="00E41334"/>
    <w:pPr>
      <w:numPr>
        <w:numId w:val="10"/>
      </w:numPr>
    </w:pPr>
  </w:style>
  <w:style w:type="numbering" w:customStyle="1" w:styleId="3importltstlus">
    <w:name w:val="3. importált stílus"/>
    <w:rsid w:val="00E41334"/>
    <w:pPr>
      <w:numPr>
        <w:numId w:val="11"/>
      </w:numPr>
    </w:pPr>
  </w:style>
  <w:style w:type="numbering" w:customStyle="1" w:styleId="6importltstlus">
    <w:name w:val="6. importált stílus"/>
    <w:rsid w:val="00E41334"/>
    <w:pPr>
      <w:numPr>
        <w:numId w:val="12"/>
      </w:numPr>
    </w:pPr>
  </w:style>
  <w:style w:type="numbering" w:customStyle="1" w:styleId="1importltstlus">
    <w:name w:val="1. importált stílus"/>
    <w:rsid w:val="00E41334"/>
    <w:pPr>
      <w:numPr>
        <w:numId w:val="13"/>
      </w:numPr>
    </w:pPr>
  </w:style>
  <w:style w:type="character" w:customStyle="1" w:styleId="NormlWebChar">
    <w:name w:val="Normál (Web) Char"/>
    <w:link w:val="NormlWeb"/>
    <w:uiPriority w:val="99"/>
    <w:locked/>
    <w:rsid w:val="00E41334"/>
    <w:rPr>
      <w:rFonts w:ascii="Times New Roman" w:hAnsi="Times New Roman" w:cs="Times New Roman"/>
      <w:sz w:val="24"/>
      <w:szCs w:val="24"/>
    </w:rPr>
  </w:style>
  <w:style w:type="table" w:customStyle="1" w:styleId="Tblzatrcsos5stt1jellszn1">
    <w:name w:val="Táblázat (rácsos) 5 – sötét – 1. jelölőszín1"/>
    <w:basedOn w:val="Normltblzat"/>
    <w:uiPriority w:val="50"/>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Listaszertblzat41jellszn1">
    <w:name w:val="Listaszerű táblázat 4 – 1. jelölőszín1"/>
    <w:basedOn w:val="Normltblzat"/>
    <w:uiPriority w:val="49"/>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45jellszn1">
    <w:name w:val="Táblázat (rácsos) 4 – 5. jelölőszín1"/>
    <w:basedOn w:val="Normltblzat"/>
    <w:uiPriority w:val="49"/>
    <w:rsid w:val="00E4133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Stlus1">
    <w:name w:val="Stílus1"/>
    <w:basedOn w:val="Normltblzat"/>
    <w:uiPriority w:val="99"/>
    <w:rsid w:val="00E41334"/>
    <w:pPr>
      <w:spacing w:after="0" w:line="240" w:lineRule="auto"/>
    </w:pPr>
    <w:rPr>
      <w:rFonts w:ascii="Calibri" w:eastAsia="PMingLiU" w:hAnsi="Calibri" w:cs="Times New Roman"/>
      <w:sz w:val="20"/>
      <w:szCs w:val="20"/>
      <w:lang w:eastAsia="hu-HU"/>
    </w:rPr>
    <w:tblPr/>
  </w:style>
  <w:style w:type="paragraph" w:customStyle="1" w:styleId="Corresponding">
    <w:name w:val="Corresponding"/>
    <w:basedOn w:val="llb"/>
    <w:link w:val="CorrespondingChar"/>
    <w:rsid w:val="00E41334"/>
    <w:pPr>
      <w:tabs>
        <w:tab w:val="clear" w:pos="4536"/>
        <w:tab w:val="clear" w:pos="9072"/>
        <w:tab w:val="center" w:pos="4703"/>
        <w:tab w:val="right" w:pos="9406"/>
      </w:tabs>
      <w:spacing w:before="600"/>
    </w:pPr>
    <w:rPr>
      <w:rFonts w:eastAsia="SimSun" w:cs="Calibri"/>
      <w:b/>
      <w:sz w:val="20"/>
      <w:szCs w:val="24"/>
      <w:lang w:val="en-GB" w:eastAsia="zh-CN"/>
    </w:rPr>
  </w:style>
  <w:style w:type="paragraph" w:customStyle="1" w:styleId="Corresponding2">
    <w:name w:val="Corresponding2"/>
    <w:basedOn w:val="llb"/>
    <w:link w:val="Corresponding2Char"/>
    <w:rsid w:val="00E41334"/>
    <w:pPr>
      <w:tabs>
        <w:tab w:val="clear" w:pos="4536"/>
        <w:tab w:val="clear" w:pos="9072"/>
        <w:tab w:val="center" w:pos="4703"/>
        <w:tab w:val="right" w:pos="9406"/>
      </w:tabs>
    </w:pPr>
    <w:rPr>
      <w:rFonts w:eastAsia="SimSun" w:cs="Calibri"/>
      <w:sz w:val="20"/>
      <w:szCs w:val="24"/>
      <w:lang w:val="en-GB" w:eastAsia="zh-CN"/>
    </w:rPr>
  </w:style>
  <w:style w:type="character" w:customStyle="1" w:styleId="CorrespondingChar">
    <w:name w:val="Corresponding Char"/>
    <w:link w:val="Corresponding"/>
    <w:rsid w:val="00E41334"/>
    <w:rPr>
      <w:rFonts w:ascii="Calibri" w:eastAsia="SimSun" w:hAnsi="Calibri" w:cs="Calibri"/>
      <w:b/>
      <w:sz w:val="20"/>
      <w:szCs w:val="24"/>
      <w:lang w:val="en-GB" w:eastAsia="zh-CN"/>
    </w:rPr>
  </w:style>
  <w:style w:type="character" w:customStyle="1" w:styleId="Corresponding2Char">
    <w:name w:val="Corresponding2 Char"/>
    <w:link w:val="Corresponding2"/>
    <w:rsid w:val="00E41334"/>
    <w:rPr>
      <w:rFonts w:ascii="Calibri" w:eastAsia="SimSun" w:hAnsi="Calibri" w:cs="Calibri"/>
      <w:sz w:val="20"/>
      <w:szCs w:val="24"/>
      <w:lang w:val="en-GB" w:eastAsia="zh-CN"/>
    </w:rPr>
  </w:style>
  <w:style w:type="character" w:customStyle="1" w:styleId="atn">
    <w:name w:val="atn"/>
    <w:rsid w:val="00E41334"/>
  </w:style>
  <w:style w:type="table" w:styleId="Vilgosrnykols1jellszn">
    <w:name w:val="Light Shading Accent 1"/>
    <w:basedOn w:val="Normltblzat"/>
    <w:uiPriority w:val="60"/>
    <w:rsid w:val="00E41334"/>
    <w:pPr>
      <w:spacing w:after="0" w:line="240" w:lineRule="auto"/>
    </w:pPr>
    <w:rPr>
      <w:rFonts w:ascii="Calibri" w:eastAsia="Calibri" w:hAnsi="Calibri" w:cs="Times New Roman"/>
      <w:color w:val="2E74B5"/>
      <w:sz w:val="20"/>
      <w:szCs w:val="20"/>
      <w:lang w:eastAsia="hu-HU"/>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Section1">
    <w:name w:val="Section1"/>
    <w:basedOn w:val="Sectiontitle"/>
    <w:link w:val="Section1Char"/>
    <w:rsid w:val="00E41334"/>
  </w:style>
  <w:style w:type="paragraph" w:customStyle="1" w:styleId="Section2">
    <w:name w:val="Section2"/>
    <w:basedOn w:val="Sectiontitle"/>
    <w:link w:val="Section2Char"/>
    <w:rsid w:val="00E41334"/>
  </w:style>
  <w:style w:type="character" w:customStyle="1" w:styleId="Section1Char">
    <w:name w:val="Section1 Char"/>
    <w:link w:val="Section1"/>
    <w:rsid w:val="00E41334"/>
    <w:rPr>
      <w:rFonts w:ascii="Cambria" w:eastAsia="SimSun" w:hAnsi="Cambria" w:cs="Times New Roman"/>
      <w:b/>
      <w:sz w:val="24"/>
      <w:szCs w:val="26"/>
      <w:lang w:val="en-GB" w:eastAsia="zh-CN"/>
    </w:rPr>
  </w:style>
  <w:style w:type="paragraph" w:customStyle="1" w:styleId="Section3">
    <w:name w:val="Section3"/>
    <w:basedOn w:val="Sectiontitle2"/>
    <w:link w:val="Section3Char"/>
    <w:rsid w:val="00E41334"/>
  </w:style>
  <w:style w:type="character" w:customStyle="1" w:styleId="Section2Char">
    <w:name w:val="Section2 Char"/>
    <w:link w:val="Section2"/>
    <w:rsid w:val="00E41334"/>
    <w:rPr>
      <w:rFonts w:ascii="Cambria" w:eastAsia="SimSun" w:hAnsi="Cambria" w:cs="Times New Roman"/>
      <w:b/>
      <w:sz w:val="24"/>
      <w:szCs w:val="26"/>
      <w:lang w:val="en-GB" w:eastAsia="zh-CN"/>
    </w:rPr>
  </w:style>
  <w:style w:type="paragraph" w:customStyle="1" w:styleId="MainText">
    <w:name w:val="MainText"/>
    <w:basedOn w:val="Text"/>
    <w:link w:val="MainTextChar"/>
    <w:qFormat/>
    <w:rsid w:val="00E41334"/>
    <w:pPr>
      <w:spacing w:line="480" w:lineRule="auto"/>
    </w:pPr>
    <w:rPr>
      <w:rFonts w:eastAsia="SimSun" w:cs="Times New Roman"/>
      <w:color w:val="auto"/>
      <w:szCs w:val="26"/>
      <w:lang w:val="en-US" w:eastAsia="zh-CN"/>
    </w:rPr>
  </w:style>
  <w:style w:type="character" w:customStyle="1" w:styleId="Section3Char">
    <w:name w:val="Section3 Char"/>
    <w:link w:val="Section3"/>
    <w:rsid w:val="00E41334"/>
    <w:rPr>
      <w:rFonts w:ascii="Cambria" w:eastAsia="Times New Roman" w:hAnsi="Cambria" w:cs="Arial"/>
      <w:i/>
      <w:iCs/>
      <w:color w:val="000000"/>
      <w:sz w:val="24"/>
      <w:lang w:val="en-GB" w:eastAsia="hu-HU"/>
    </w:rPr>
  </w:style>
  <w:style w:type="paragraph" w:customStyle="1" w:styleId="Heading1">
    <w:name w:val="Heading1"/>
    <w:basedOn w:val="Section1"/>
    <w:link w:val="Heading1Char"/>
    <w:qFormat/>
    <w:rsid w:val="00E41334"/>
    <w:pPr>
      <w:jc w:val="left"/>
    </w:pPr>
  </w:style>
  <w:style w:type="character" w:customStyle="1" w:styleId="MainTextChar">
    <w:name w:val="MainText Char"/>
    <w:link w:val="MainText"/>
    <w:rsid w:val="00E41334"/>
    <w:rPr>
      <w:rFonts w:ascii="Cambria" w:eastAsia="SimSun" w:hAnsi="Cambria" w:cs="Times New Roman"/>
      <w:sz w:val="24"/>
      <w:szCs w:val="26"/>
      <w:lang w:val="en-US" w:eastAsia="zh-CN"/>
    </w:rPr>
  </w:style>
  <w:style w:type="paragraph" w:customStyle="1" w:styleId="Heading2">
    <w:name w:val="Heading2"/>
    <w:basedOn w:val="Section2"/>
    <w:link w:val="Heading2Char"/>
    <w:qFormat/>
    <w:rsid w:val="00E41334"/>
  </w:style>
  <w:style w:type="character" w:customStyle="1" w:styleId="Heading1Char">
    <w:name w:val="Heading1 Char"/>
    <w:link w:val="Heading1"/>
    <w:rsid w:val="00E41334"/>
    <w:rPr>
      <w:rFonts w:ascii="Cambria" w:eastAsia="SimSun" w:hAnsi="Cambria" w:cs="Times New Roman"/>
      <w:b/>
      <w:sz w:val="24"/>
      <w:szCs w:val="26"/>
      <w:lang w:val="en-GB" w:eastAsia="zh-CN"/>
    </w:rPr>
  </w:style>
  <w:style w:type="paragraph" w:customStyle="1" w:styleId="Heading3">
    <w:name w:val="Heading3"/>
    <w:basedOn w:val="Section3"/>
    <w:link w:val="Heading3Char"/>
    <w:qFormat/>
    <w:rsid w:val="00E41334"/>
  </w:style>
  <w:style w:type="character" w:customStyle="1" w:styleId="Heading2Char">
    <w:name w:val="Heading2 Char"/>
    <w:link w:val="Heading2"/>
    <w:rsid w:val="00E41334"/>
    <w:rPr>
      <w:rFonts w:ascii="Cambria" w:eastAsia="SimSun" w:hAnsi="Cambria" w:cs="Times New Roman"/>
      <w:b/>
      <w:sz w:val="24"/>
      <w:szCs w:val="26"/>
      <w:lang w:val="en-GB" w:eastAsia="zh-CN"/>
    </w:rPr>
  </w:style>
  <w:style w:type="character" w:customStyle="1" w:styleId="Heading3Char">
    <w:name w:val="Heading3 Char"/>
    <w:link w:val="Heading3"/>
    <w:rsid w:val="00E41334"/>
    <w:rPr>
      <w:rFonts w:ascii="Cambria" w:eastAsia="Times New Roman" w:hAnsi="Cambria" w:cs="Arial"/>
      <w:i/>
      <w:iCs/>
      <w:color w:val="000000"/>
      <w:sz w:val="24"/>
      <w:lang w:val="en-GB" w:eastAsia="hu-HU"/>
    </w:rPr>
  </w:style>
  <w:style w:type="paragraph" w:styleId="Szvegtrzs">
    <w:name w:val="Body Text"/>
    <w:basedOn w:val="Norml"/>
    <w:link w:val="SzvegtrzsChar"/>
    <w:uiPriority w:val="1"/>
    <w:qFormat/>
    <w:rsid w:val="00E41334"/>
    <w:pPr>
      <w:widowControl w:val="0"/>
      <w:spacing w:after="0" w:line="240" w:lineRule="auto"/>
      <w:ind w:left="107"/>
    </w:pPr>
    <w:rPr>
      <w:rFonts w:eastAsia="Calibri"/>
      <w:sz w:val="24"/>
      <w:szCs w:val="24"/>
      <w:lang w:val="en-US"/>
    </w:rPr>
  </w:style>
  <w:style w:type="character" w:customStyle="1" w:styleId="SzvegtrzsChar">
    <w:name w:val="Szövegtörzs Char"/>
    <w:basedOn w:val="Bekezdsalapbettpusa"/>
    <w:link w:val="Szvegtrzs"/>
    <w:uiPriority w:val="1"/>
    <w:rsid w:val="00E41334"/>
    <w:rPr>
      <w:rFonts w:ascii="Calibri" w:eastAsia="Calibri" w:hAnsi="Calibri" w:cs="Times New Roman"/>
      <w:sz w:val="24"/>
      <w:szCs w:val="24"/>
      <w:lang w:val="en-US"/>
    </w:rPr>
  </w:style>
  <w:style w:type="paragraph" w:customStyle="1" w:styleId="TableParagraph">
    <w:name w:val="Table Paragraph"/>
    <w:basedOn w:val="Norml"/>
    <w:uiPriority w:val="1"/>
    <w:qFormat/>
    <w:rsid w:val="00E41334"/>
    <w:pPr>
      <w:widowControl w:val="0"/>
      <w:spacing w:after="0" w:line="240" w:lineRule="auto"/>
    </w:pPr>
    <w:rPr>
      <w:lang w:val="en-US"/>
    </w:rPr>
  </w:style>
  <w:style w:type="character" w:styleId="Helyrzszveg">
    <w:name w:val="Placeholder Text"/>
    <w:uiPriority w:val="99"/>
    <w:semiHidden/>
    <w:rsid w:val="00E41334"/>
    <w:rPr>
      <w:color w:val="808080"/>
    </w:rPr>
  </w:style>
  <w:style w:type="paragraph" w:customStyle="1" w:styleId="Recom">
    <w:name w:val="Recom"/>
    <w:basedOn w:val="Sectiontitle"/>
    <w:link w:val="RecomChar"/>
    <w:qFormat/>
    <w:rsid w:val="00E41334"/>
    <w:pPr>
      <w:spacing w:line="240" w:lineRule="auto"/>
    </w:pPr>
    <w:rPr>
      <w:b w:val="0"/>
      <w:sz w:val="18"/>
      <w:szCs w:val="18"/>
    </w:rPr>
  </w:style>
  <w:style w:type="character" w:customStyle="1" w:styleId="RecomChar">
    <w:name w:val="Recom Char"/>
    <w:link w:val="Recom"/>
    <w:rsid w:val="00E41334"/>
    <w:rPr>
      <w:rFonts w:ascii="Cambria" w:eastAsia="SimSun" w:hAnsi="Cambria" w:cs="Times New Roman"/>
      <w:sz w:val="18"/>
      <w:szCs w:val="18"/>
      <w:lang w:val="en-GB" w:eastAsia="zh-CN"/>
    </w:rPr>
  </w:style>
  <w:style w:type="paragraph" w:customStyle="1" w:styleId="yiv6314796487msonormal">
    <w:name w:val="yiv6314796487msonormal"/>
    <w:basedOn w:val="Norml"/>
    <w:rsid w:val="00E41334"/>
    <w:pPr>
      <w:spacing w:before="100" w:beforeAutospacing="1" w:after="100" w:afterAutospacing="1" w:line="240" w:lineRule="auto"/>
    </w:pPr>
    <w:rPr>
      <w:rFonts w:ascii="PMingLiU" w:hAnsi="PMingLiU" w:cs="PMingLiU"/>
      <w:sz w:val="24"/>
      <w:szCs w:val="24"/>
      <w:lang w:val="en-US" w:eastAsia="zh-TW"/>
    </w:rPr>
  </w:style>
  <w:style w:type="paragraph" w:customStyle="1" w:styleId="Note">
    <w:name w:val="Note"/>
    <w:basedOn w:val="Norml"/>
    <w:link w:val="NoteChar"/>
    <w:qFormat/>
    <w:rsid w:val="00E41334"/>
    <w:pPr>
      <w:spacing w:after="0" w:line="240" w:lineRule="auto"/>
    </w:pPr>
    <w:rPr>
      <w:rFonts w:ascii="Cambria" w:eastAsia="SimSun" w:hAnsi="Cambria"/>
      <w:sz w:val="18"/>
      <w:szCs w:val="18"/>
      <w:lang w:val="en-GB" w:eastAsia="zh-CN"/>
    </w:rPr>
  </w:style>
  <w:style w:type="paragraph" w:customStyle="1" w:styleId="Note1">
    <w:name w:val="Note1"/>
    <w:basedOn w:val="Note"/>
    <w:link w:val="Note1Char"/>
    <w:qFormat/>
    <w:rsid w:val="00E41334"/>
  </w:style>
  <w:style w:type="character" w:customStyle="1" w:styleId="NoteChar">
    <w:name w:val="Note Char"/>
    <w:link w:val="Note"/>
    <w:rsid w:val="00E41334"/>
    <w:rPr>
      <w:rFonts w:ascii="Cambria" w:eastAsia="SimSun" w:hAnsi="Cambria" w:cs="Times New Roman"/>
      <w:sz w:val="18"/>
      <w:szCs w:val="18"/>
      <w:lang w:val="en-GB" w:eastAsia="zh-CN"/>
    </w:rPr>
  </w:style>
  <w:style w:type="character" w:customStyle="1" w:styleId="Note1Char">
    <w:name w:val="Note1 Char"/>
    <w:link w:val="Note1"/>
    <w:rsid w:val="00E41334"/>
    <w:rPr>
      <w:rFonts w:ascii="Cambria" w:eastAsia="SimSun" w:hAnsi="Cambria" w:cs="Times New Roman"/>
      <w:sz w:val="18"/>
      <w:szCs w:val="18"/>
      <w:lang w:val="en-GB" w:eastAsia="zh-CN"/>
    </w:rPr>
  </w:style>
  <w:style w:type="table" w:customStyle="1" w:styleId="TableGrid1">
    <w:name w:val="Table Grid1"/>
    <w:basedOn w:val="Normltblzat"/>
    <w:uiPriority w:val="59"/>
    <w:rsid w:val="00E41334"/>
    <w:pPr>
      <w:spacing w:after="0" w:line="240" w:lineRule="auto"/>
    </w:pPr>
    <w:rPr>
      <w:rFonts w:ascii="Calibri" w:eastAsia="Calibri"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Normltblzat"/>
    <w:uiPriority w:val="59"/>
    <w:rsid w:val="00E41334"/>
    <w:pPr>
      <w:spacing w:after="0" w:line="240" w:lineRule="auto"/>
    </w:pPr>
    <w:rPr>
      <w:rFonts w:ascii="Calibri" w:eastAsia="Times New Roman"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orcid-id">
    <w:name w:val="orcid-id"/>
    <w:rsid w:val="00E41334"/>
  </w:style>
  <w:style w:type="character" w:customStyle="1" w:styleId="KpalrsChar">
    <w:name w:val="Képaláírás Char"/>
    <w:aliases w:val="Table Char,Picture Char,Figure Char1,Table/Figure Char"/>
    <w:link w:val="Kpalrs"/>
    <w:uiPriority w:val="35"/>
    <w:rsid w:val="00E41334"/>
    <w:rPr>
      <w:rFonts w:ascii="Calibri" w:eastAsia="Times New Roman" w:hAnsi="Calibri" w:cs="Times New Roman"/>
      <w:i/>
      <w:iCs/>
      <w:color w:val="000000"/>
      <w:sz w:val="18"/>
      <w:szCs w:val="18"/>
      <w:lang w:val="en-US"/>
    </w:rPr>
  </w:style>
  <w:style w:type="character" w:customStyle="1" w:styleId="FigureChar">
    <w:name w:val="Figure Char"/>
    <w:rsid w:val="00E41334"/>
    <w:rPr>
      <w:rFonts w:ascii="Cambria" w:eastAsia="Times New Roman" w:hAnsi="Cambria"/>
      <w:i/>
      <w:iCs/>
      <w:color w:val="000000"/>
      <w:sz w:val="18"/>
      <w:szCs w:val="18"/>
      <w:lang w:val="en-US" w:eastAsia="en-US"/>
    </w:rPr>
  </w:style>
  <w:style w:type="paragraph" w:customStyle="1" w:styleId="Figure1">
    <w:name w:val="Figure1"/>
    <w:basedOn w:val="MainText"/>
    <w:link w:val="Figure1Char"/>
    <w:qFormat/>
    <w:rsid w:val="00E41334"/>
    <w:pPr>
      <w:spacing w:line="276" w:lineRule="auto"/>
      <w:jc w:val="center"/>
    </w:pPr>
    <w:rPr>
      <w:rFonts w:eastAsia="PMingLiU"/>
      <w:i/>
      <w:sz w:val="18"/>
      <w:szCs w:val="18"/>
    </w:rPr>
  </w:style>
  <w:style w:type="character" w:customStyle="1" w:styleId="Figure1Char">
    <w:name w:val="Figure1 Char"/>
    <w:link w:val="Figure1"/>
    <w:rsid w:val="00E41334"/>
    <w:rPr>
      <w:rFonts w:ascii="Cambria" w:eastAsia="PMingLiU" w:hAnsi="Cambria" w:cs="Times New Roman"/>
      <w:i/>
      <w:sz w:val="18"/>
      <w:szCs w:val="18"/>
      <w:lang w:val="en-US" w:eastAsia="zh-CN"/>
    </w:rPr>
  </w:style>
  <w:style w:type="character" w:customStyle="1" w:styleId="element-citation">
    <w:name w:val="element-citation"/>
    <w:rsid w:val="00E41334"/>
  </w:style>
  <w:style w:type="character" w:customStyle="1" w:styleId="ref-journal">
    <w:name w:val="ref-journal"/>
    <w:rsid w:val="00E41334"/>
  </w:style>
  <w:style w:type="paragraph" w:customStyle="1" w:styleId="EndNoteBibliographyTitle">
    <w:name w:val="EndNote Bibliography Title"/>
    <w:basedOn w:val="Norml"/>
    <w:link w:val="EndNoteBibliographyTitle0"/>
    <w:rsid w:val="00E41334"/>
    <w:pPr>
      <w:spacing w:after="0" w:line="240" w:lineRule="auto"/>
      <w:jc w:val="center"/>
    </w:pPr>
    <w:rPr>
      <w:rFonts w:ascii="Cambria" w:eastAsia="SimSun" w:hAnsi="Cambria"/>
      <w:noProof/>
      <w:sz w:val="20"/>
      <w:szCs w:val="24"/>
      <w:lang w:val="en-GB" w:eastAsia="zh-CN"/>
    </w:rPr>
  </w:style>
  <w:style w:type="character" w:customStyle="1" w:styleId="EndNoteBibliographyTitle0">
    <w:name w:val="EndNote Bibliography Title 字元"/>
    <w:link w:val="EndNoteBibliographyTitle"/>
    <w:rsid w:val="00E41334"/>
    <w:rPr>
      <w:rFonts w:ascii="Cambria" w:eastAsia="SimSun" w:hAnsi="Cambria" w:cs="Times New Roman"/>
      <w:noProof/>
      <w:sz w:val="20"/>
      <w:szCs w:val="24"/>
      <w:lang w:val="en-GB" w:eastAsia="zh-CN"/>
    </w:rPr>
  </w:style>
  <w:style w:type="paragraph" w:customStyle="1" w:styleId="EndNoteBibliography">
    <w:name w:val="EndNote Bibliography"/>
    <w:basedOn w:val="Norml"/>
    <w:link w:val="EndNoteBibliography0"/>
    <w:rsid w:val="00E41334"/>
    <w:pPr>
      <w:spacing w:after="0" w:line="240" w:lineRule="auto"/>
      <w:jc w:val="both"/>
    </w:pPr>
    <w:rPr>
      <w:rFonts w:ascii="Cambria" w:eastAsia="SimSun" w:hAnsi="Cambria"/>
      <w:noProof/>
      <w:sz w:val="20"/>
      <w:szCs w:val="24"/>
      <w:lang w:val="en-GB" w:eastAsia="zh-CN"/>
    </w:rPr>
  </w:style>
  <w:style w:type="character" w:customStyle="1" w:styleId="EndNoteBibliography0">
    <w:name w:val="EndNote Bibliography 字元"/>
    <w:link w:val="EndNoteBibliography"/>
    <w:rsid w:val="00E41334"/>
    <w:rPr>
      <w:rFonts w:ascii="Cambria" w:eastAsia="SimSun" w:hAnsi="Cambria" w:cs="Times New Roman"/>
      <w:noProof/>
      <w:sz w:val="20"/>
      <w:szCs w:val="24"/>
      <w:lang w:val="en-GB" w:eastAsia="zh-CN"/>
    </w:rPr>
  </w:style>
  <w:style w:type="table" w:customStyle="1" w:styleId="2">
    <w:name w:val="表格格線2"/>
    <w:basedOn w:val="Normltblzat"/>
    <w:next w:val="Rcsostblzat"/>
    <w:uiPriority w:val="59"/>
    <w:rsid w:val="00E4133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Normltblzat"/>
    <w:next w:val="Rcsostblzat"/>
    <w:uiPriority w:val="59"/>
    <w:rsid w:val="00E4133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Normltblzat"/>
    <w:next w:val="Rcsostblzat"/>
    <w:uiPriority w:val="59"/>
    <w:rsid w:val="00E4133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Normltblzat"/>
    <w:next w:val="Rcsostblzat"/>
    <w:uiPriority w:val="59"/>
    <w:rsid w:val="00E4133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1"/>
    <w:basedOn w:val="Normltblzat"/>
    <w:next w:val="Rcsostblzat"/>
    <w:uiPriority w:val="59"/>
    <w:rsid w:val="00E4133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2"/>
    <w:basedOn w:val="Normltblzat"/>
    <w:next w:val="Rcsostblzat"/>
    <w:uiPriority w:val="59"/>
    <w:rsid w:val="00E4133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3"/>
    <w:basedOn w:val="Normltblzat"/>
    <w:next w:val="Rcsostblzat"/>
    <w:uiPriority w:val="59"/>
    <w:rsid w:val="00E4133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格格線5"/>
    <w:basedOn w:val="Normltblzat"/>
    <w:next w:val="Rcsostblzat"/>
    <w:uiPriority w:val="59"/>
    <w:rsid w:val="00E4133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格格線6"/>
    <w:basedOn w:val="Normltblzat"/>
    <w:next w:val="Rcsostblzat"/>
    <w:uiPriority w:val="59"/>
    <w:rsid w:val="00E4133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rsid w:val="00E41334"/>
  </w:style>
  <w:style w:type="paragraph" w:customStyle="1" w:styleId="note0">
    <w:name w:val="note"/>
    <w:basedOn w:val="Norml"/>
    <w:link w:val="noteChar0"/>
    <w:qFormat/>
    <w:rsid w:val="00E41334"/>
    <w:pPr>
      <w:widowControl w:val="0"/>
      <w:spacing w:after="0" w:line="240" w:lineRule="auto"/>
      <w:jc w:val="both"/>
    </w:pPr>
    <w:rPr>
      <w:rFonts w:ascii="Cambria" w:hAnsi="Cambria"/>
      <w:i/>
      <w:kern w:val="2"/>
      <w:sz w:val="18"/>
      <w:szCs w:val="18"/>
      <w:lang w:val="en-US" w:eastAsia="zh-TW"/>
    </w:rPr>
  </w:style>
  <w:style w:type="paragraph" w:customStyle="1" w:styleId="note10">
    <w:name w:val="note1"/>
    <w:basedOn w:val="Norml"/>
    <w:link w:val="note1Char0"/>
    <w:qFormat/>
    <w:rsid w:val="00E41334"/>
    <w:pPr>
      <w:spacing w:after="0" w:line="240" w:lineRule="auto"/>
      <w:jc w:val="both"/>
    </w:pPr>
    <w:rPr>
      <w:rFonts w:ascii="Cambria" w:eastAsia="SimSun" w:hAnsi="Cambria"/>
      <w:sz w:val="18"/>
      <w:szCs w:val="18"/>
      <w:lang w:val="en-GB" w:eastAsia="zh-CN"/>
    </w:rPr>
  </w:style>
  <w:style w:type="character" w:customStyle="1" w:styleId="noteChar0">
    <w:name w:val="note Char"/>
    <w:link w:val="note0"/>
    <w:rsid w:val="00E41334"/>
    <w:rPr>
      <w:rFonts w:ascii="Cambria" w:eastAsia="PMingLiU" w:hAnsi="Cambria" w:cs="Times New Roman"/>
      <w:i/>
      <w:kern w:val="2"/>
      <w:sz w:val="18"/>
      <w:szCs w:val="18"/>
      <w:lang w:val="en-US" w:eastAsia="zh-TW"/>
    </w:rPr>
  </w:style>
  <w:style w:type="character" w:customStyle="1" w:styleId="note1Char0">
    <w:name w:val="note1 Char"/>
    <w:link w:val="note10"/>
    <w:rsid w:val="00E41334"/>
    <w:rPr>
      <w:rFonts w:ascii="Cambria" w:eastAsia="SimSun" w:hAnsi="Cambria" w:cs="Times New Roman"/>
      <w:sz w:val="18"/>
      <w:szCs w:val="18"/>
      <w:lang w:val="en-GB" w:eastAsia="zh-CN"/>
    </w:rPr>
  </w:style>
  <w:style w:type="numbering" w:customStyle="1" w:styleId="Nemlista2">
    <w:name w:val="Nem lista2"/>
    <w:next w:val="Nemlista"/>
    <w:uiPriority w:val="99"/>
    <w:semiHidden/>
    <w:unhideWhenUsed/>
    <w:rsid w:val="00E41334"/>
  </w:style>
  <w:style w:type="table" w:customStyle="1" w:styleId="Rcsostblzat1">
    <w:name w:val="Rácsos táblázat1"/>
    <w:basedOn w:val="Normltblzat"/>
    <w:next w:val="Rcsostblzat"/>
    <w:uiPriority w:val="3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E41334"/>
  </w:style>
  <w:style w:type="table" w:customStyle="1" w:styleId="Rcsostblzat2">
    <w:name w:val="Rácsos táblázat2"/>
    <w:basedOn w:val="Normltblzat"/>
    <w:next w:val="Rcsostblzat"/>
    <w:uiPriority w:val="3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kntformzott">
    <w:name w:val="HTML Preformatted"/>
    <w:basedOn w:val="Norml"/>
    <w:link w:val="HTML-kntformzottChar"/>
    <w:uiPriority w:val="99"/>
    <w:rsid w:val="00E413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es-ES" w:eastAsia="es-ES"/>
    </w:rPr>
  </w:style>
  <w:style w:type="character" w:customStyle="1" w:styleId="HTML-kntformzottChar">
    <w:name w:val="HTML-ként formázott Char"/>
    <w:basedOn w:val="Bekezdsalapbettpusa"/>
    <w:link w:val="HTML-kntformzott"/>
    <w:uiPriority w:val="99"/>
    <w:rsid w:val="00E41334"/>
    <w:rPr>
      <w:rFonts w:ascii="Courier New" w:eastAsia="Courier New" w:hAnsi="Courier New" w:cs="Times New Roman"/>
      <w:sz w:val="20"/>
      <w:szCs w:val="20"/>
      <w:lang w:val="es-ES" w:eastAsia="es-ES"/>
    </w:rPr>
  </w:style>
  <w:style w:type="character" w:customStyle="1" w:styleId="go">
    <w:name w:val="go"/>
    <w:basedOn w:val="Bekezdsalapbettpusa"/>
    <w:rsid w:val="00E41334"/>
  </w:style>
  <w:style w:type="paragraph" w:customStyle="1" w:styleId="irodalomjegyzk">
    <w:name w:val="irodalomjegyzék"/>
    <w:basedOn w:val="Norml"/>
    <w:rsid w:val="00E41334"/>
    <w:pPr>
      <w:suppressAutoHyphens/>
      <w:autoSpaceDE w:val="0"/>
      <w:spacing w:before="40" w:after="40" w:line="240" w:lineRule="auto"/>
      <w:ind w:left="709" w:hanging="709"/>
    </w:pPr>
    <w:rPr>
      <w:rFonts w:ascii="Times New Roman" w:eastAsia="Times New Roman" w:hAnsi="Times New Roman"/>
      <w:sz w:val="20"/>
      <w:szCs w:val="20"/>
      <w:lang w:val="en-GB" w:eastAsia="ar-SA"/>
    </w:rPr>
  </w:style>
  <w:style w:type="table" w:customStyle="1" w:styleId="TableGrid11">
    <w:name w:val="Table Grid11"/>
    <w:basedOn w:val="Normltblzat"/>
    <w:next w:val="Rcsostblzat"/>
    <w:uiPriority w:val="3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idzet">
    <w:name w:val="HTML Cite"/>
    <w:uiPriority w:val="99"/>
    <w:semiHidden/>
    <w:unhideWhenUsed/>
    <w:rsid w:val="00E41334"/>
    <w:rPr>
      <w:i/>
      <w:iCs/>
    </w:rPr>
  </w:style>
  <w:style w:type="character" w:customStyle="1" w:styleId="m-5633896569933351420italic">
    <w:name w:val="m_-5633896569933351420italic"/>
    <w:basedOn w:val="Bekezdsalapbettpusa"/>
    <w:rsid w:val="00E41334"/>
  </w:style>
  <w:style w:type="character" w:customStyle="1" w:styleId="m-5633896569933351420citation">
    <w:name w:val="m_-5633896569933351420citation"/>
    <w:basedOn w:val="Bekezdsalapbettpusa"/>
    <w:rsid w:val="00E41334"/>
  </w:style>
  <w:style w:type="numbering" w:customStyle="1" w:styleId="Nemlista4">
    <w:name w:val="Nem lista4"/>
    <w:next w:val="Nemlista"/>
    <w:uiPriority w:val="99"/>
    <w:semiHidden/>
    <w:rsid w:val="00E41334"/>
  </w:style>
  <w:style w:type="table" w:customStyle="1" w:styleId="Rcsostblzat3">
    <w:name w:val="Rácsos táblázat3"/>
    <w:basedOn w:val="Normltblzat"/>
    <w:next w:val="Rcsostblzat"/>
    <w:uiPriority w:val="5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5">
    <w:name w:val="Nem lista5"/>
    <w:next w:val="Nemlista"/>
    <w:semiHidden/>
    <w:rsid w:val="00E41334"/>
  </w:style>
  <w:style w:type="table" w:customStyle="1" w:styleId="Rcsostblzat4">
    <w:name w:val="Rácsos táblázat4"/>
    <w:basedOn w:val="Normltblzat"/>
    <w:next w:val="Rcsostblzat"/>
    <w:uiPriority w:val="3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l"/>
    <w:next w:val="Cmsor1"/>
    <w:link w:val="Heading1Char0"/>
    <w:uiPriority w:val="1"/>
    <w:qFormat/>
    <w:rsid w:val="00E41334"/>
    <w:pPr>
      <w:widowControl w:val="0"/>
      <w:spacing w:after="0" w:line="240" w:lineRule="auto"/>
      <w:ind w:left="460"/>
      <w:outlineLvl w:val="0"/>
    </w:pPr>
    <w:rPr>
      <w:rFonts w:ascii="Times New Roman" w:eastAsia="Times New Roman" w:hAnsi="Times New Roman"/>
      <w:b/>
      <w:bCs/>
      <w:sz w:val="28"/>
      <w:szCs w:val="28"/>
      <w:lang w:val="en-US"/>
    </w:rPr>
  </w:style>
  <w:style w:type="paragraph" w:customStyle="1" w:styleId="Heading21">
    <w:name w:val="Heading 21"/>
    <w:basedOn w:val="Norml"/>
    <w:next w:val="Cmsor2"/>
    <w:link w:val="Heading2Char0"/>
    <w:uiPriority w:val="1"/>
    <w:qFormat/>
    <w:rsid w:val="00E41334"/>
    <w:pPr>
      <w:widowControl w:val="0"/>
      <w:spacing w:after="0" w:line="240" w:lineRule="auto"/>
      <w:ind w:left="460" w:hanging="360"/>
      <w:outlineLvl w:val="1"/>
    </w:pPr>
    <w:rPr>
      <w:rFonts w:ascii="Times New Roman" w:eastAsia="Times New Roman" w:hAnsi="Times New Roman"/>
      <w:b/>
      <w:bCs/>
      <w:sz w:val="24"/>
      <w:szCs w:val="24"/>
      <w:u w:val="single"/>
      <w:lang w:val="en-US"/>
    </w:rPr>
  </w:style>
  <w:style w:type="paragraph" w:customStyle="1" w:styleId="Heading31">
    <w:name w:val="Heading 31"/>
    <w:basedOn w:val="Norml"/>
    <w:next w:val="Cmsor3"/>
    <w:link w:val="Heading3Char0"/>
    <w:uiPriority w:val="1"/>
    <w:qFormat/>
    <w:rsid w:val="00E41334"/>
    <w:pPr>
      <w:widowControl w:val="0"/>
      <w:spacing w:after="0" w:line="240" w:lineRule="auto"/>
      <w:ind w:left="100"/>
      <w:outlineLvl w:val="2"/>
    </w:pPr>
    <w:rPr>
      <w:rFonts w:ascii="Arial" w:eastAsia="Arial" w:hAnsi="Arial"/>
      <w:b/>
      <w:bCs/>
      <w:i/>
      <w:sz w:val="24"/>
      <w:szCs w:val="24"/>
      <w:lang w:val="en-US"/>
    </w:rPr>
  </w:style>
  <w:style w:type="numbering" w:customStyle="1" w:styleId="NoList1">
    <w:name w:val="No List1"/>
    <w:next w:val="Nemlista"/>
    <w:uiPriority w:val="99"/>
    <w:semiHidden/>
    <w:unhideWhenUsed/>
    <w:rsid w:val="00E41334"/>
  </w:style>
  <w:style w:type="character" w:customStyle="1" w:styleId="Heading1Char0">
    <w:name w:val="Heading 1 Char"/>
    <w:link w:val="Heading11"/>
    <w:uiPriority w:val="1"/>
    <w:rsid w:val="00E41334"/>
    <w:rPr>
      <w:rFonts w:ascii="Times New Roman" w:eastAsia="Times New Roman" w:hAnsi="Times New Roman" w:cs="Times New Roman"/>
      <w:b/>
      <w:bCs/>
      <w:sz w:val="28"/>
      <w:szCs w:val="28"/>
      <w:lang w:val="en-US"/>
    </w:rPr>
  </w:style>
  <w:style w:type="character" w:customStyle="1" w:styleId="Heading2Char0">
    <w:name w:val="Heading 2 Char"/>
    <w:link w:val="Heading21"/>
    <w:uiPriority w:val="1"/>
    <w:rsid w:val="00E41334"/>
    <w:rPr>
      <w:rFonts w:ascii="Times New Roman" w:eastAsia="Times New Roman" w:hAnsi="Times New Roman" w:cs="Times New Roman"/>
      <w:b/>
      <w:bCs/>
      <w:sz w:val="24"/>
      <w:szCs w:val="24"/>
      <w:u w:val="single"/>
      <w:lang w:val="en-US"/>
    </w:rPr>
  </w:style>
  <w:style w:type="character" w:customStyle="1" w:styleId="Heading3Char0">
    <w:name w:val="Heading 3 Char"/>
    <w:link w:val="Heading31"/>
    <w:uiPriority w:val="1"/>
    <w:rsid w:val="00E41334"/>
    <w:rPr>
      <w:rFonts w:ascii="Arial" w:eastAsia="Arial" w:hAnsi="Arial" w:cs="Times New Roman"/>
      <w:b/>
      <w:bCs/>
      <w:i/>
      <w:sz w:val="24"/>
      <w:szCs w:val="24"/>
      <w:lang w:val="en-US"/>
    </w:rPr>
  </w:style>
  <w:style w:type="character" w:customStyle="1" w:styleId="FollowedHyperlink1">
    <w:name w:val="FollowedHyperlink1"/>
    <w:uiPriority w:val="99"/>
    <w:semiHidden/>
    <w:unhideWhenUsed/>
    <w:rsid w:val="00E41334"/>
    <w:rPr>
      <w:color w:val="800080"/>
      <w:u w:val="single"/>
    </w:rPr>
  </w:style>
  <w:style w:type="table" w:customStyle="1" w:styleId="TableGrid12">
    <w:name w:val="Table Grid12"/>
    <w:basedOn w:val="Normltblzat"/>
    <w:next w:val="Rcsostblzat"/>
    <w:uiPriority w:val="39"/>
    <w:rsid w:val="00E41334"/>
    <w:pPr>
      <w:spacing w:after="0" w:line="240" w:lineRule="auto"/>
    </w:pPr>
    <w:rPr>
      <w:rFonts w:ascii="Calibri" w:eastAsia="Malgun Gothic" w:hAnsi="Calibri"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rltotthiperhivatkozs">
    <w:name w:val="FollowedHyperlink"/>
    <w:rsid w:val="00E41334"/>
    <w:rPr>
      <w:color w:val="954F72"/>
      <w:u w:val="single"/>
    </w:rPr>
  </w:style>
  <w:style w:type="numbering" w:customStyle="1" w:styleId="Nemlista6">
    <w:name w:val="Nem lista6"/>
    <w:next w:val="Nemlista"/>
    <w:uiPriority w:val="99"/>
    <w:semiHidden/>
    <w:unhideWhenUsed/>
    <w:rsid w:val="00E41334"/>
  </w:style>
  <w:style w:type="table" w:customStyle="1" w:styleId="Rcsostblzat5">
    <w:name w:val="Rácsos táblázat5"/>
    <w:basedOn w:val="Normltblzat"/>
    <w:next w:val="Rcsostblzat"/>
    <w:uiPriority w:val="39"/>
    <w:rsid w:val="00E413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lmarticle-title">
    <w:name w:val="nlm_article-title"/>
    <w:basedOn w:val="Bekezdsalapbettpusa"/>
    <w:rsid w:val="00E41334"/>
  </w:style>
  <w:style w:type="character" w:customStyle="1" w:styleId="titleheading">
    <w:name w:val="titleheading"/>
    <w:basedOn w:val="Bekezdsalapbettpusa"/>
    <w:rsid w:val="00E41334"/>
  </w:style>
  <w:style w:type="character" w:customStyle="1" w:styleId="contribdegrees">
    <w:name w:val="contribdegrees"/>
    <w:basedOn w:val="Bekezdsalapbettpusa"/>
    <w:rsid w:val="00E41334"/>
  </w:style>
  <w:style w:type="character" w:customStyle="1" w:styleId="journaltitle">
    <w:name w:val="journaltitle"/>
    <w:basedOn w:val="Bekezdsalapbettpusa"/>
    <w:rsid w:val="00E41334"/>
  </w:style>
  <w:style w:type="character" w:customStyle="1" w:styleId="articlecitationpages">
    <w:name w:val="articlecitation_pages"/>
    <w:basedOn w:val="Bekezdsalapbettpusa"/>
    <w:rsid w:val="00E41334"/>
  </w:style>
  <w:style w:type="character" w:customStyle="1" w:styleId="authorsname">
    <w:name w:val="authors__name"/>
    <w:basedOn w:val="Bekezdsalapbettpusa"/>
    <w:rsid w:val="00E41334"/>
  </w:style>
  <w:style w:type="character" w:customStyle="1" w:styleId="authorscontact">
    <w:name w:val="authors__contact"/>
    <w:basedOn w:val="Bekezdsalapbettpusa"/>
    <w:rsid w:val="00E41334"/>
  </w:style>
  <w:style w:type="numbering" w:customStyle="1" w:styleId="Nemlista7">
    <w:name w:val="Nem lista7"/>
    <w:next w:val="Nemlista"/>
    <w:uiPriority w:val="99"/>
    <w:semiHidden/>
    <w:unhideWhenUsed/>
    <w:rsid w:val="00E41334"/>
  </w:style>
  <w:style w:type="table" w:customStyle="1" w:styleId="Rcsostblzat6">
    <w:name w:val="Rácsos táblázat6"/>
    <w:basedOn w:val="Normltblzat"/>
    <w:next w:val="Rcsostblzat"/>
    <w:uiPriority w:val="39"/>
    <w:rsid w:val="00E41334"/>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HERJ">
    <w:name w:val="Heading_HERJ"/>
    <w:basedOn w:val="Cm1"/>
    <w:link w:val="HeadingHERJChar"/>
    <w:qFormat/>
    <w:rsid w:val="00E41334"/>
    <w:pPr>
      <w:spacing w:before="0"/>
      <w:ind w:right="0"/>
    </w:pPr>
    <w:rPr>
      <w:b w:val="0"/>
      <w:i/>
      <w:sz w:val="22"/>
      <w:szCs w:val="22"/>
    </w:rPr>
  </w:style>
  <w:style w:type="character" w:customStyle="1" w:styleId="HeadingHERJChar">
    <w:name w:val="Heading_HERJ Char"/>
    <w:link w:val="HeadingHERJ"/>
    <w:rsid w:val="00E41334"/>
    <w:rPr>
      <w:rFonts w:ascii="Cambria" w:eastAsia="Times New Roman" w:hAnsi="Cambria" w:cs="Arial"/>
      <w:bCs/>
      <w:i/>
      <w:iCs/>
      <w:color w:val="000000"/>
      <w:lang w:val="en-GB" w:eastAsia="hu-HU"/>
    </w:rPr>
  </w:style>
  <w:style w:type="paragraph" w:customStyle="1" w:styleId="Tblzat">
    <w:name w:val="Táblázat"/>
    <w:basedOn w:val="Norml"/>
    <w:link w:val="TblzatChar"/>
    <w:qFormat/>
    <w:rsid w:val="00E41334"/>
    <w:pPr>
      <w:spacing w:after="0" w:line="240" w:lineRule="auto"/>
    </w:pPr>
    <w:rPr>
      <w:rFonts w:ascii="Cambria" w:eastAsia="Times New Roman" w:hAnsi="Cambria"/>
      <w:sz w:val="18"/>
      <w:szCs w:val="20"/>
    </w:rPr>
  </w:style>
  <w:style w:type="character" w:customStyle="1" w:styleId="TblzatChar">
    <w:name w:val="Táblázat Char"/>
    <w:link w:val="Tblzat"/>
    <w:rsid w:val="00E41334"/>
    <w:rPr>
      <w:rFonts w:ascii="Cambria" w:eastAsia="Times New Roman" w:hAnsi="Cambria" w:cs="Times New Roman"/>
      <w:sz w:val="18"/>
      <w:szCs w:val="20"/>
    </w:rPr>
  </w:style>
  <w:style w:type="table" w:customStyle="1" w:styleId="Rcsostblzat7">
    <w:name w:val="Rácsos táblázat7"/>
    <w:basedOn w:val="Normltblzat"/>
    <w:next w:val="Rcsostblzat"/>
    <w:uiPriority w:val="39"/>
    <w:rsid w:val="00E41334"/>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6129/CJP.2009.5104.07" TargetMode="External"/><Relationship Id="rId18" Type="http://schemas.openxmlformats.org/officeDocument/2006/relationships/hyperlink" Target="https://doi.org/10.1007/s10212-014-0211-z" TargetMode="External"/><Relationship Id="rId26" Type="http://schemas.openxmlformats.org/officeDocument/2006/relationships/hyperlink" Target="https://doi.org/10.1046/j.1365-2788.2003.00452.x" TargetMode="External"/><Relationship Id="rId3" Type="http://schemas.openxmlformats.org/officeDocument/2006/relationships/settings" Target="settings.xml"/><Relationship Id="rId21" Type="http://schemas.openxmlformats.org/officeDocument/2006/relationships/hyperlink" Target="https://doi.org/10.1111/1467-8624.00209" TargetMode="External"/><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s://doi.org/10.1207/s15566935eed1404_2" TargetMode="External"/><Relationship Id="rId17" Type="http://schemas.openxmlformats.org/officeDocument/2006/relationships/hyperlink" Target="https://doi.org/10.4324/9780203080719.ch13" TargetMode="External"/><Relationship Id="rId25" Type="http://schemas.openxmlformats.org/officeDocument/2006/relationships/hyperlink" Target="https://doi.org/10.4324/9780203080719.ch14" TargetMode="External"/><Relationship Id="rId33" Type="http://schemas.openxmlformats.org/officeDocument/2006/relationships/hyperlink" Target="https://doi.org/10.1037/0012-1649.19.2.159" TargetMode="External"/><Relationship Id="rId2" Type="http://schemas.openxmlformats.org/officeDocument/2006/relationships/styles" Target="styles.xml"/><Relationship Id="rId16" Type="http://schemas.openxmlformats.org/officeDocument/2006/relationships/hyperlink" Target="https://doi.org/10.1177/016502548400700404" TargetMode="External"/><Relationship Id="rId20" Type="http://schemas.openxmlformats.org/officeDocument/2006/relationships/hyperlink" Target="https://doi.org/10.1002/imhj.10044" TargetMode="External"/><Relationship Id="rId29" Type="http://schemas.openxmlformats.org/officeDocument/2006/relationships/hyperlink" Target="https://doi.org/10.1037/0022-3514.78.2.31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11/j.1365-2788.2009.01166.x" TargetMode="External"/><Relationship Id="rId24" Type="http://schemas.openxmlformats.org/officeDocument/2006/relationships/hyperlink" Target="https://doi.org/10.1037/t04950-000" TargetMode="External"/><Relationship Id="rId32" Type="http://schemas.openxmlformats.org/officeDocument/2006/relationships/hyperlink" Target="https://doi.org/10.1037/h0040934" TargetMode="External"/><Relationship Id="rId5" Type="http://schemas.openxmlformats.org/officeDocument/2006/relationships/footnotes" Target="footnotes.xml"/><Relationship Id="rId15" Type="http://schemas.openxmlformats.org/officeDocument/2006/relationships/hyperlink" Target="https://doi.org/10.1037/0012-1649.15.4.386" TargetMode="External"/><Relationship Id="rId23" Type="http://schemas.openxmlformats.org/officeDocument/2006/relationships/hyperlink" Target="https://doi.org/10.1037/0012-1649.22.3.366" TargetMode="External"/><Relationship Id="rId28" Type="http://schemas.openxmlformats.org/officeDocument/2006/relationships/hyperlink" Target="https://doi.org/10.1016/0163-6383(88)90003-3" TargetMode="External"/><Relationship Id="rId36" Type="http://schemas.openxmlformats.org/officeDocument/2006/relationships/theme" Target="theme/theme1.xml"/><Relationship Id="rId10" Type="http://schemas.openxmlformats.org/officeDocument/2006/relationships/hyperlink" Target="https://doi.org/10.1007/978-1-4899-2271-7" TargetMode="External"/><Relationship Id="rId19" Type="http://schemas.openxmlformats.org/officeDocument/2006/relationships/hyperlink" Target="https://doi.org/10.1155/2014/803061" TargetMode="External"/><Relationship Id="rId31" Type="http://schemas.openxmlformats.org/officeDocument/2006/relationships/hyperlink" Target="https://doi.org/10.1002/icd.1825" TargetMode="External"/><Relationship Id="rId4" Type="http://schemas.openxmlformats.org/officeDocument/2006/relationships/webSettings" Target="webSettings.xml"/><Relationship Id="rId9" Type="http://schemas.openxmlformats.org/officeDocument/2006/relationships/hyperlink" Target="https://doi.org/10.1016/j.infbeh.2006.12.001" TargetMode="External"/><Relationship Id="rId14" Type="http://schemas.openxmlformats.org/officeDocument/2006/relationships/hyperlink" Target="https://doi.org/10.1097/00004583-198805000-00008" TargetMode="External"/><Relationship Id="rId22" Type="http://schemas.openxmlformats.org/officeDocument/2006/relationships/hyperlink" Target="https://doi.org/10.2307/1131351" TargetMode="External"/><Relationship Id="rId27" Type="http://schemas.openxmlformats.org/officeDocument/2006/relationships/hyperlink" Target="https://doi.org/10.1016/j.infbeh.2006.01.004" TargetMode="External"/><Relationship Id="rId30" Type="http://schemas.openxmlformats.org/officeDocument/2006/relationships/hyperlink" Target="https://doi.org/10.2307/1131290" TargetMode="Externa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mailto:kllay@ntu.edu.tw" TargetMode="External"/><Relationship Id="rId1" Type="http://schemas.openxmlformats.org/officeDocument/2006/relationships/hyperlink" Target="mailto:095466@mail.fju.edu.tw"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6646</Words>
  <Characters>45859</Characters>
  <Application>Microsoft Office Word</Application>
  <DocSecurity>0</DocSecurity>
  <Lines>382</Lines>
  <Paragraphs>104</Paragraphs>
  <ScaleCrop>false</ScaleCrop>
  <Company/>
  <LinksUpToDate>false</LinksUpToDate>
  <CharactersWithSpaces>52401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cp:revision>
  <dcterms:created xsi:type="dcterms:W3CDTF">2017-07-21T08:35:00Z</dcterms:created>
  <dcterms:modified xsi:type="dcterms:W3CDTF">2017-07-21T08:37:00Z</dcterms:modified>
</cp:coreProperties>
</file>